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highlight w:val="none"/>
        </w:rPr>
      </w:pPr>
      <w:bookmarkStart w:id="0" w:name="_Toc102986664"/>
      <w:bookmarkStart w:id="1" w:name="_Toc102988708"/>
      <w:bookmarkStart w:id="2" w:name="_Toc17289"/>
      <w:bookmarkStart w:id="3" w:name="_Toc17540"/>
      <w:r>
        <w:rPr>
          <w:highlight w:val="none"/>
        </w:rPr>
        <w:drawing>
          <wp:inline distT="0" distB="0" distL="114300" distR="114300">
            <wp:extent cx="1870075" cy="224155"/>
            <wp:effectExtent l="0" t="0" r="15875" b="4445"/>
            <wp:docPr id="6" name="图片 1" descr="C:\Users\Administrator\Desktop\logo\瑞纳智能.png瑞纳智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esktop\logo\瑞纳智能.png瑞纳智能"/>
                    <pic:cNvPicPr>
                      <a:picLocks noChangeAspect="1"/>
                    </pic:cNvPicPr>
                  </pic:nvPicPr>
                  <pic:blipFill>
                    <a:blip r:embed="rId9"/>
                    <a:srcRect/>
                    <a:stretch>
                      <a:fillRect/>
                    </a:stretch>
                  </pic:blipFill>
                  <pic:spPr>
                    <a:xfrm>
                      <a:off x="0" y="0"/>
                      <a:ext cx="1870364" cy="224444"/>
                    </a:xfrm>
                    <a:prstGeom prst="rect">
                      <a:avLst/>
                    </a:prstGeom>
                    <a:noFill/>
                    <a:ln w="9525">
                      <a:noFill/>
                    </a:ln>
                  </pic:spPr>
                </pic:pic>
              </a:graphicData>
            </a:graphic>
          </wp:inline>
        </w:drawing>
      </w:r>
      <w:bookmarkEnd w:id="0"/>
      <w:bookmarkEnd w:id="1"/>
      <w:bookmarkEnd w:id="2"/>
      <w:bookmarkEnd w:id="3"/>
    </w:p>
    <w:p>
      <w:pPr>
        <w:spacing w:line="360" w:lineRule="auto"/>
        <w:ind w:firstLine="482"/>
        <w:jc w:val="center"/>
        <w:rPr>
          <w:rFonts w:ascii="黑体" w:eastAsia="黑体"/>
          <w:bCs/>
          <w:spacing w:val="6"/>
          <w:w w:val="74"/>
          <w:sz w:val="48"/>
          <w:szCs w:val="48"/>
          <w:highlight w:val="none"/>
        </w:rPr>
      </w:pPr>
      <w:r>
        <w:rPr>
          <w:rFonts w:hint="eastAsia" w:ascii="黑体" w:eastAsia="黑体"/>
          <w:bCs/>
          <w:spacing w:val="6"/>
          <w:w w:val="74"/>
          <w:sz w:val="48"/>
          <w:szCs w:val="48"/>
          <w:highlight w:val="none"/>
        </w:rPr>
        <w:t>瑞纳智能研发实验室招标</w:t>
      </w:r>
    </w:p>
    <w:p>
      <w:pPr>
        <w:jc w:val="right"/>
        <w:rPr>
          <w:rFonts w:ascii="黑体" w:hAnsi="黑体" w:eastAsia="黑体" w:cs="黑体"/>
          <w:sz w:val="30"/>
          <w:szCs w:val="30"/>
          <w:highlight w:val="none"/>
        </w:rPr>
      </w:pPr>
      <w:r>
        <w:rPr>
          <w:rFonts w:hint="eastAsia" w:ascii="黑体" w:hAnsi="黑体" w:eastAsia="黑体" w:cs="黑体"/>
          <w:sz w:val="30"/>
          <w:szCs w:val="30"/>
          <w:highlight w:val="none"/>
        </w:rPr>
        <w:t>招标文件编号：项目RNB2024003-A</w:t>
      </w:r>
      <w:r>
        <w:rPr>
          <w:rFonts w:hint="eastAsia" w:ascii="黑体" w:hAnsi="黑体" w:eastAsia="黑体" w:cs="黑体"/>
          <w:sz w:val="30"/>
          <w:szCs w:val="30"/>
          <w:highlight w:val="none"/>
          <w:vertAlign w:val="subscript"/>
        </w:rPr>
        <w:t>0</w:t>
      </w:r>
    </w:p>
    <w:p>
      <w:pPr>
        <w:jc w:val="center"/>
        <w:rPr>
          <w:rFonts w:ascii="黑体" w:eastAsia="黑体"/>
          <w:sz w:val="72"/>
          <w:szCs w:val="72"/>
          <w:highlight w:val="none"/>
        </w:rPr>
      </w:pPr>
      <w:r>
        <w:rPr>
          <w:rFonts w:asciiTheme="majorEastAsia" w:hAnsiTheme="majorEastAsia" w:eastAsiaTheme="majorEastAsia" w:cstheme="majorEastAsia"/>
          <w:szCs w:val="21"/>
          <w:highlight w:val="none"/>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138430</wp:posOffset>
                </wp:positionV>
                <wp:extent cx="5466715" cy="8890"/>
                <wp:effectExtent l="15875" t="24130" r="22860" b="24130"/>
                <wp:wrapTopAndBottom/>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466715" cy="8890"/>
                        </a:xfrm>
                        <a:prstGeom prst="line">
                          <a:avLst/>
                        </a:prstGeom>
                        <a:noFill/>
                        <a:ln w="31750">
                          <a:solidFill>
                            <a:srgbClr val="000000"/>
                          </a:solidFill>
                          <a:round/>
                        </a:ln>
                      </wps:spPr>
                      <wps:bodyPr/>
                    </wps:wsp>
                  </a:graphicData>
                </a:graphic>
              </wp:anchor>
            </w:drawing>
          </mc:Choice>
          <mc:Fallback>
            <w:pict>
              <v:line id="_x0000_s1026" o:spid="_x0000_s1026" o:spt="20" style="position:absolute;left:0pt;flip:y;margin-left:4.25pt;margin-top:10.9pt;height:0.7pt;width:430.45pt;mso-wrap-distance-bottom:0pt;mso-wrap-distance-top:0pt;z-index:251660288;mso-width-relative:page;mso-height-relative:page;" filled="f" stroked="t" coordsize="21600,21600" o:gfxdata="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quR9cAAAAHAQAADwAAAAAAAAABACAAAAAiAAAAZHJzL2Rvd25yZXYueG1sUEsBAhQAFAAA&#10;AAgAh07iQDcBmLjwAQAAuAMAAA4AAAAAAAAAAQAgAAAAJgEAAGRycy9lMm9Eb2MueG1sUEsFBgAA&#10;AAAGAAYAWQEAAIgFAAAAAA==&#10;">
                <v:fill on="f" focussize="0,0"/>
                <v:stroke weight="2.5pt" color="#000000" joinstyle="round"/>
                <v:imagedata o:title=""/>
                <o:lock v:ext="edit" aspectratio="f"/>
                <w10:wrap type="topAndBottom"/>
              </v:line>
            </w:pict>
          </mc:Fallback>
        </mc:AlternateContent>
      </w:r>
    </w:p>
    <w:p>
      <w:pPr>
        <w:jc w:val="center"/>
        <w:rPr>
          <w:rFonts w:ascii="黑体" w:eastAsia="黑体"/>
          <w:sz w:val="52"/>
          <w:szCs w:val="52"/>
          <w:highlight w:val="none"/>
        </w:rPr>
      </w:pPr>
    </w:p>
    <w:p>
      <w:pPr>
        <w:rPr>
          <w:rFonts w:ascii="黑体" w:eastAsia="黑体"/>
          <w:sz w:val="32"/>
          <w:szCs w:val="32"/>
          <w:highlight w:val="none"/>
        </w:rPr>
      </w:pPr>
    </w:p>
    <w:p>
      <w:pPr>
        <w:jc w:val="center"/>
        <w:rPr>
          <w:rFonts w:ascii="黑体" w:eastAsia="黑体"/>
          <w:sz w:val="32"/>
          <w:szCs w:val="32"/>
          <w:highlight w:val="none"/>
        </w:rPr>
      </w:pPr>
    </w:p>
    <w:p>
      <w:pPr>
        <w:spacing w:line="360" w:lineRule="auto"/>
        <w:jc w:val="center"/>
        <w:outlineLvl w:val="0"/>
        <w:rPr>
          <w:rFonts w:ascii="黑体" w:hAnsi="黑体" w:eastAsia="黑体"/>
          <w:bCs/>
          <w:sz w:val="52"/>
          <w:szCs w:val="52"/>
          <w:highlight w:val="none"/>
        </w:rPr>
      </w:pPr>
      <w:bookmarkStart w:id="4" w:name="_Toc102986665"/>
      <w:bookmarkStart w:id="5" w:name="_Toc102986742"/>
      <w:bookmarkStart w:id="6" w:name="_Toc18011"/>
      <w:bookmarkStart w:id="7" w:name="_Toc102988709"/>
      <w:r>
        <w:rPr>
          <w:rFonts w:hint="eastAsia" w:ascii="黑体" w:hAnsi="黑体" w:eastAsia="黑体"/>
          <w:bCs/>
          <w:sz w:val="52"/>
          <w:szCs w:val="52"/>
          <w:highlight w:val="none"/>
        </w:rPr>
        <w:t>邀请招标文件</w:t>
      </w:r>
      <w:bookmarkEnd w:id="4"/>
      <w:bookmarkEnd w:id="5"/>
      <w:bookmarkEnd w:id="6"/>
      <w:bookmarkEnd w:id="7"/>
    </w:p>
    <w:p>
      <w:pPr>
        <w:spacing w:line="360" w:lineRule="auto"/>
        <w:jc w:val="center"/>
        <w:rPr>
          <w:highlight w:val="none"/>
        </w:rPr>
      </w:pPr>
    </w:p>
    <w:p>
      <w:pPr>
        <w:rPr>
          <w:highlight w:val="none"/>
        </w:rPr>
      </w:pPr>
      <w:r>
        <w:rPr>
          <w:highlight w:val="none"/>
        </w:rPr>
        <w:t> </w:t>
      </w:r>
    </w:p>
    <w:p>
      <w:pPr>
        <w:rPr>
          <w:highlight w:val="none"/>
        </w:rPr>
      </w:pPr>
      <w:r>
        <w:rPr>
          <w:highlight w:val="none"/>
        </w:rPr>
        <w:t> </w:t>
      </w:r>
    </w:p>
    <w:p>
      <w:pPr>
        <w:rPr>
          <w:highlight w:val="none"/>
        </w:rPr>
      </w:pPr>
    </w:p>
    <w:p>
      <w:pPr>
        <w:rPr>
          <w:highlight w:val="none"/>
        </w:rPr>
      </w:pPr>
    </w:p>
    <w:p>
      <w:pPr>
        <w:rPr>
          <w:highlight w:val="none"/>
        </w:rPr>
      </w:pPr>
    </w:p>
    <w:p>
      <w:pPr>
        <w:rPr>
          <w:highlight w:val="none"/>
        </w:rPr>
      </w:pPr>
      <w:r>
        <w:rPr>
          <w:highlight w:val="none"/>
        </w:rPr>
        <w:t> </w:t>
      </w:r>
    </w:p>
    <w:p>
      <w:pPr>
        <w:rPr>
          <w:highlight w:val="none"/>
        </w:rPr>
      </w:pPr>
    </w:p>
    <w:p>
      <w:pPr>
        <w:rPr>
          <w:highlight w:val="none"/>
        </w:rPr>
      </w:pPr>
    </w:p>
    <w:p>
      <w:pPr>
        <w:spacing w:line="360" w:lineRule="auto"/>
        <w:ind w:left="1820" w:leftChars="200" w:hanging="1400" w:hangingChars="500"/>
        <w:rPr>
          <w:rFonts w:ascii="宋体" w:hAnsi="宋体" w:cs="Times New Roman"/>
          <w:sz w:val="28"/>
          <w:szCs w:val="28"/>
          <w:highlight w:val="none"/>
          <w:u w:val="single"/>
        </w:rPr>
      </w:pPr>
      <w:r>
        <w:rPr>
          <w:rFonts w:hint="eastAsia" w:ascii="宋体" w:hAnsi="宋体"/>
          <w:sz w:val="28"/>
          <w:szCs w:val="28"/>
          <w:highlight w:val="none"/>
        </w:rPr>
        <w:t>工程名称：</w:t>
      </w:r>
      <w:r>
        <w:rPr>
          <w:rFonts w:hint="eastAsia" w:ascii="宋体" w:hAnsi="宋体"/>
          <w:sz w:val="28"/>
          <w:szCs w:val="28"/>
          <w:highlight w:val="none"/>
          <w:u w:val="single"/>
        </w:rPr>
        <w:t xml:space="preserve">       瑞纳智能研发实验室项目                      </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rPr>
        <w:t>招标单位：</w:t>
      </w:r>
      <w:r>
        <w:rPr>
          <w:rFonts w:hint="eastAsia" w:ascii="宋体" w:hAnsi="宋体"/>
          <w:sz w:val="28"/>
          <w:szCs w:val="28"/>
          <w:highlight w:val="none"/>
          <w:u w:val="single"/>
        </w:rPr>
        <w:t xml:space="preserve">       瑞纳智能设备股份有限公司                  </w:t>
      </w:r>
    </w:p>
    <w:p>
      <w:pPr>
        <w:spacing w:line="360" w:lineRule="auto"/>
        <w:outlineLvl w:val="0"/>
        <w:rPr>
          <w:rFonts w:ascii="宋体" w:hAnsi="宋体"/>
          <w:sz w:val="28"/>
          <w:szCs w:val="28"/>
          <w:highlight w:val="none"/>
          <w:u w:val="single"/>
        </w:rPr>
      </w:pPr>
      <w:r>
        <w:rPr>
          <w:rFonts w:hint="eastAsia" w:ascii="宋体" w:hAnsi="宋体"/>
          <w:sz w:val="28"/>
          <w:szCs w:val="28"/>
          <w:highlight w:val="none"/>
        </w:rPr>
        <w:t xml:space="preserve">    </w:t>
      </w:r>
      <w:bookmarkStart w:id="8" w:name="_Toc102986743"/>
      <w:bookmarkStart w:id="9" w:name="_Toc20136"/>
      <w:bookmarkStart w:id="10" w:name="_Toc102986666"/>
      <w:bookmarkStart w:id="11" w:name="_Toc102988710"/>
      <w:r>
        <w:rPr>
          <w:rFonts w:hint="eastAsia" w:ascii="宋体" w:hAnsi="宋体"/>
          <w:sz w:val="28"/>
          <w:szCs w:val="28"/>
          <w:highlight w:val="none"/>
        </w:rPr>
        <w:t>招标时间：</w:t>
      </w:r>
      <w:r>
        <w:rPr>
          <w:rFonts w:hint="eastAsia" w:ascii="宋体" w:hAnsi="宋体"/>
          <w:sz w:val="28"/>
          <w:szCs w:val="28"/>
          <w:highlight w:val="none"/>
          <w:u w:val="single"/>
        </w:rPr>
        <w:t xml:space="preserve">           2023年3月</w:t>
      </w:r>
      <w:bookmarkEnd w:id="8"/>
      <w:bookmarkEnd w:id="9"/>
      <w:bookmarkEnd w:id="10"/>
      <w:bookmarkEnd w:id="11"/>
      <w:r>
        <w:rPr>
          <w:rFonts w:hint="eastAsia" w:ascii="宋体" w:hAnsi="宋体"/>
          <w:sz w:val="28"/>
          <w:szCs w:val="28"/>
          <w:highlight w:val="none"/>
          <w:u w:val="single"/>
        </w:rPr>
        <w:t xml:space="preserve">                           </w:t>
      </w:r>
    </w:p>
    <w:p>
      <w:pPr>
        <w:rPr>
          <w:highlight w:val="none"/>
        </w:rPr>
      </w:pPr>
    </w:p>
    <w:p>
      <w:pPr>
        <w:spacing w:line="360" w:lineRule="auto"/>
        <w:jc w:val="left"/>
        <w:rPr>
          <w:bCs/>
          <w:sz w:val="28"/>
          <w:szCs w:val="28"/>
          <w:highlight w:val="none"/>
        </w:rPr>
      </w:pPr>
      <w:r>
        <w:rPr>
          <w:bCs/>
          <w:sz w:val="28"/>
          <w:szCs w:val="28"/>
          <w:highlight w:val="none"/>
        </w:rPr>
        <w:t xml:space="preserve"> </w:t>
      </w:r>
      <w:r>
        <w:rPr>
          <w:rFonts w:hint="eastAsia"/>
          <w:bCs/>
          <w:sz w:val="28"/>
          <w:szCs w:val="28"/>
          <w:highlight w:val="none"/>
        </w:rPr>
        <w:t xml:space="preserve">  </w:t>
      </w:r>
    </w:p>
    <w:p>
      <w:pPr>
        <w:spacing w:line="360" w:lineRule="auto"/>
        <w:jc w:val="center"/>
        <w:rPr>
          <w:rFonts w:ascii="黑体" w:eastAsia="黑体"/>
          <w:bCs/>
          <w:spacing w:val="6"/>
          <w:w w:val="74"/>
          <w:sz w:val="44"/>
          <w:szCs w:val="44"/>
          <w:highlight w:val="none"/>
        </w:rPr>
        <w:sectPr>
          <w:footerReference r:id="rId3" w:type="default"/>
          <w:pgSz w:w="11906" w:h="16838"/>
          <w:pgMar w:top="1418" w:right="1463" w:bottom="1440" w:left="1746" w:header="851" w:footer="992" w:gutter="0"/>
          <w:cols w:space="425" w:num="1"/>
          <w:docGrid w:type="lines" w:linePitch="312" w:charSpace="0"/>
        </w:sect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58420</wp:posOffset>
                </wp:positionV>
                <wp:extent cx="5466715" cy="8890"/>
                <wp:effectExtent l="15875" t="20320" r="22860" b="18415"/>
                <wp:wrapTopAndBottom/>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466715" cy="8890"/>
                        </a:xfrm>
                        <a:prstGeom prst="line">
                          <a:avLst/>
                        </a:prstGeom>
                        <a:noFill/>
                        <a:ln w="31750">
                          <a:solidFill>
                            <a:srgbClr val="000000"/>
                          </a:solidFill>
                          <a:round/>
                        </a:ln>
                      </wps:spPr>
                      <wps:bodyPr/>
                    </wps:wsp>
                  </a:graphicData>
                </a:graphic>
              </wp:anchor>
            </w:drawing>
          </mc:Choice>
          <mc:Fallback>
            <w:pict>
              <v:line id="_x0000_s1026" o:spid="_x0000_s1026" o:spt="20" style="position:absolute;left:0pt;flip:y;margin-left:2.75pt;margin-top:4.6pt;height:0.7pt;width:430.45pt;mso-wrap-distance-bottom:0pt;mso-wrap-distance-top:0pt;z-index:251659264;mso-width-relative:page;mso-height-relative:page;" filled="f" stroked="t" coordsize="21600,21600" o:gfxdata="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mrCS1QAAAAYBAAAPAAAAAAAAAAEAIAAAACIAAABkcnMvZG93bnJldi54bWxQSwECFAAUAAAA&#10;CACHTuJA94wD8/EBAAC4AwAADgAAAAAAAAABACAAAAAkAQAAZHJzL2Uyb0RvYy54bWxQSwUGAAAA&#10;AAYABgBZAQAAhwUAAAAA&#10;">
                <v:fill on="f" focussize="0,0"/>
                <v:stroke weight="2.5pt" color="#000000" joinstyle="round"/>
                <v:imagedata o:title=""/>
                <o:lock v:ext="edit" aspectratio="f"/>
                <w10:wrap type="topAndBottom"/>
              </v:line>
            </w:pict>
          </mc:Fallback>
        </mc:AlternateContent>
      </w:r>
      <w:r>
        <w:rPr>
          <w:rFonts w:hint="eastAsia" w:ascii="黑体" w:eastAsia="黑体"/>
          <w:bCs/>
          <w:spacing w:val="6"/>
          <w:w w:val="74"/>
          <w:sz w:val="44"/>
          <w:szCs w:val="44"/>
          <w:highlight w:val="none"/>
        </w:rPr>
        <w:t>瑞纳智能设备股份有限公司企业  发布</w:t>
      </w:r>
    </w:p>
    <w:p>
      <w:pPr>
        <w:rPr>
          <w:b/>
          <w:sz w:val="28"/>
          <w:szCs w:val="28"/>
          <w:highlight w:val="none"/>
        </w:rPr>
        <w:sectPr>
          <w:headerReference r:id="rId4" w:type="default"/>
          <w:type w:val="continuous"/>
          <w:pgSz w:w="11906" w:h="16838"/>
          <w:pgMar w:top="1418" w:right="1463" w:bottom="1440" w:left="1746" w:header="851" w:footer="992" w:gutter="0"/>
          <w:pgNumType w:start="1"/>
          <w:cols w:space="425" w:num="1"/>
          <w:docGrid w:type="lines" w:linePitch="312" w:charSpace="0"/>
        </w:sectPr>
      </w:pPr>
    </w:p>
    <w:sdt>
      <w:sdtPr>
        <w:rPr>
          <w:rFonts w:asciiTheme="majorHAnsi" w:hAnsiTheme="majorHAnsi" w:eastAsiaTheme="majorEastAsia" w:cstheme="majorBidi"/>
          <w:color w:val="2E75B6" w:themeColor="accent1" w:themeShade="BF"/>
          <w:kern w:val="0"/>
          <w:sz w:val="32"/>
          <w:szCs w:val="32"/>
          <w:highlight w:val="none"/>
          <w:lang w:val="zh-CN"/>
        </w:rPr>
        <w:id w:val="-1966259855"/>
        <w:docPartObj>
          <w:docPartGallery w:val="Table of Contents"/>
          <w:docPartUnique/>
        </w:docPartObj>
      </w:sdtPr>
      <w:sdtEndPr>
        <w:rPr>
          <w:rFonts w:asciiTheme="majorHAnsi" w:hAnsiTheme="majorHAnsi" w:eastAsiaTheme="majorEastAsia" w:cstheme="majorBidi"/>
          <w:b/>
          <w:bCs/>
          <w:color w:val="2E75B6" w:themeColor="accent1" w:themeShade="BF"/>
          <w:kern w:val="0"/>
          <w:sz w:val="32"/>
          <w:szCs w:val="32"/>
          <w:highlight w:val="none"/>
          <w:lang w:val="zh-CN"/>
        </w:rPr>
      </w:sdtEndPr>
      <w:sdtContent>
        <w:p>
          <w:pPr>
            <w:jc w:val="center"/>
            <w:rPr>
              <w:highlight w:val="none"/>
            </w:rPr>
          </w:pPr>
          <w:r>
            <w:rPr>
              <w:rFonts w:asciiTheme="majorEastAsia" w:hAnsiTheme="majorEastAsia"/>
              <w:szCs w:val="21"/>
              <w:highlight w:val="none"/>
              <w:lang w:val="zh-CN"/>
            </w:rPr>
            <w:t>目录</w:t>
          </w:r>
          <w:r>
            <w:rPr>
              <w:rFonts w:asciiTheme="majorEastAsia" w:hAnsiTheme="majorEastAsia"/>
              <w:szCs w:val="21"/>
              <w:highlight w:val="none"/>
            </w:rPr>
            <w:fldChar w:fldCharType="begin"/>
          </w:r>
          <w:r>
            <w:rPr>
              <w:rFonts w:asciiTheme="majorEastAsia" w:hAnsiTheme="majorEastAsia"/>
              <w:szCs w:val="21"/>
              <w:highlight w:val="none"/>
            </w:rPr>
            <w:instrText xml:space="preserve"> TOC \o "1-3" \h \z \u </w:instrText>
          </w:r>
          <w:r>
            <w:rPr>
              <w:rFonts w:asciiTheme="majorEastAsia" w:hAnsiTheme="majorEastAsia"/>
              <w:szCs w:val="21"/>
              <w:highlight w:val="none"/>
            </w:rPr>
            <w:fldChar w:fldCharType="separate"/>
          </w:r>
        </w:p>
        <w:p>
          <w:pPr>
            <w:pStyle w:val="15"/>
            <w:tabs>
              <w:tab w:val="right" w:leader="dot" w:pos="8697"/>
            </w:tabs>
            <w:rPr>
              <w:highlight w:val="none"/>
            </w:rPr>
          </w:pPr>
          <w:r>
            <w:rPr>
              <w:highlight w:val="none"/>
            </w:rPr>
            <w:fldChar w:fldCharType="begin"/>
          </w:r>
          <w:r>
            <w:rPr>
              <w:highlight w:val="none"/>
            </w:rPr>
            <w:instrText xml:space="preserve"> HYPERLINK \l "_Toc22373" </w:instrText>
          </w:r>
          <w:r>
            <w:rPr>
              <w:highlight w:val="none"/>
            </w:rPr>
            <w:fldChar w:fldCharType="separate"/>
          </w:r>
          <w:r>
            <w:rPr>
              <w:rFonts w:hint="eastAsia"/>
              <w:highlight w:val="none"/>
            </w:rPr>
            <w:t>第一部分：招标邀请函</w:t>
          </w:r>
          <w:r>
            <w:rPr>
              <w:highlight w:val="none"/>
            </w:rPr>
            <w:tab/>
          </w:r>
          <w:r>
            <w:rPr>
              <w:highlight w:val="none"/>
            </w:rPr>
            <w:fldChar w:fldCharType="begin"/>
          </w:r>
          <w:r>
            <w:rPr>
              <w:highlight w:val="none"/>
            </w:rPr>
            <w:instrText xml:space="preserve"> PAGEREF _Toc22373 \h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697"/>
            </w:tabs>
            <w:rPr>
              <w:highlight w:val="none"/>
            </w:rPr>
          </w:pPr>
          <w:r>
            <w:rPr>
              <w:highlight w:val="none"/>
            </w:rPr>
            <w:fldChar w:fldCharType="begin"/>
          </w:r>
          <w:r>
            <w:rPr>
              <w:highlight w:val="none"/>
            </w:rPr>
            <w:instrText xml:space="preserve"> HYPERLINK \l "_Toc7283" </w:instrText>
          </w:r>
          <w:r>
            <w:rPr>
              <w:highlight w:val="none"/>
            </w:rPr>
            <w:fldChar w:fldCharType="separate"/>
          </w:r>
          <w:r>
            <w:rPr>
              <w:rFonts w:hint="eastAsia"/>
              <w:highlight w:val="none"/>
            </w:rPr>
            <w:t>第二部分：招标文件</w:t>
          </w:r>
          <w:r>
            <w:rPr>
              <w:highlight w:val="none"/>
            </w:rPr>
            <w:tab/>
          </w:r>
          <w:r>
            <w:rPr>
              <w:highlight w:val="none"/>
            </w:rPr>
            <w:fldChar w:fldCharType="begin"/>
          </w:r>
          <w:r>
            <w:rPr>
              <w:highlight w:val="none"/>
            </w:rPr>
            <w:instrText xml:space="preserve"> PAGEREF _Toc7283 \h </w:instrText>
          </w:r>
          <w:r>
            <w:rPr>
              <w:highlight w:val="none"/>
            </w:rPr>
            <w:fldChar w:fldCharType="separate"/>
          </w:r>
          <w:r>
            <w:rPr>
              <w:highlight w:val="none"/>
            </w:rPr>
            <w:t>3</w:t>
          </w:r>
          <w:r>
            <w:rPr>
              <w:highlight w:val="none"/>
            </w:rPr>
            <w:fldChar w:fldCharType="end"/>
          </w:r>
          <w:r>
            <w:rPr>
              <w:highlight w:val="none"/>
            </w:rPr>
            <w:fldChar w:fldCharType="end"/>
          </w:r>
        </w:p>
        <w:p>
          <w:pPr>
            <w:pStyle w:val="16"/>
            <w:tabs>
              <w:tab w:val="right" w:leader="dot" w:pos="8697"/>
            </w:tabs>
            <w:rPr>
              <w:highlight w:val="none"/>
            </w:rPr>
          </w:pPr>
          <w:r>
            <w:rPr>
              <w:highlight w:val="none"/>
            </w:rPr>
            <w:fldChar w:fldCharType="begin"/>
          </w:r>
          <w:r>
            <w:rPr>
              <w:highlight w:val="none"/>
            </w:rPr>
            <w:instrText xml:space="preserve"> HYPERLINK \l "_Toc8936" </w:instrText>
          </w:r>
          <w:r>
            <w:rPr>
              <w:highlight w:val="none"/>
            </w:rPr>
            <w:fldChar w:fldCharType="separate"/>
          </w:r>
          <w:r>
            <w:rPr>
              <w:rFonts w:hint="eastAsia"/>
              <w:highlight w:val="none"/>
            </w:rPr>
            <w:t>第一章  投标须知</w:t>
          </w:r>
          <w:r>
            <w:rPr>
              <w:highlight w:val="none"/>
            </w:rPr>
            <w:tab/>
          </w:r>
          <w:r>
            <w:rPr>
              <w:highlight w:val="none"/>
            </w:rPr>
            <w:fldChar w:fldCharType="begin"/>
          </w:r>
          <w:r>
            <w:rPr>
              <w:highlight w:val="none"/>
            </w:rPr>
            <w:instrText xml:space="preserve"> PAGEREF _Toc8936 \h </w:instrText>
          </w:r>
          <w:r>
            <w:rPr>
              <w:highlight w:val="none"/>
            </w:rPr>
            <w:fldChar w:fldCharType="separate"/>
          </w:r>
          <w:r>
            <w:rPr>
              <w:highlight w:val="none"/>
            </w:rPr>
            <w:t>4</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"_Toc29792" </w:instrText>
          </w:r>
          <w:r>
            <w:rPr>
              <w:highlight w:val="none"/>
            </w:rPr>
            <w:fldChar w:fldCharType="separate"/>
          </w:r>
          <w:r>
            <w:rPr>
              <w:rFonts w:hint="eastAsia"/>
              <w:highlight w:val="none"/>
            </w:rPr>
            <w:t>一、前附表</w:t>
          </w:r>
          <w:r>
            <w:rPr>
              <w:highlight w:val="none"/>
            </w:rPr>
            <w:tab/>
          </w:r>
          <w:r>
            <w:rPr>
              <w:highlight w:val="none"/>
            </w:rPr>
            <w:fldChar w:fldCharType="begin"/>
          </w:r>
          <w:r>
            <w:rPr>
              <w:highlight w:val="none"/>
            </w:rPr>
            <w:instrText xml:space="preserve"> PAGEREF _Toc29792 \h </w:instrText>
          </w:r>
          <w:r>
            <w:rPr>
              <w:highlight w:val="none"/>
            </w:rPr>
            <w:fldChar w:fldCharType="separate"/>
          </w:r>
          <w:r>
            <w:rPr>
              <w:highlight w:val="none"/>
            </w:rPr>
            <w:t>4</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"_Toc24674" </w:instrText>
          </w:r>
          <w:r>
            <w:rPr>
              <w:highlight w:val="none"/>
            </w:rPr>
            <w:fldChar w:fldCharType="separate"/>
          </w:r>
          <w:r>
            <w:rPr>
              <w:rFonts w:hint="eastAsia"/>
              <w:highlight w:val="none"/>
            </w:rPr>
            <w:t>二、总则</w:t>
          </w:r>
          <w:r>
            <w:rPr>
              <w:highlight w:val="none"/>
            </w:rPr>
            <w:tab/>
          </w:r>
          <w:r>
            <w:rPr>
              <w:highlight w:val="none"/>
            </w:rPr>
            <w:fldChar w:fldCharType="begin"/>
          </w:r>
          <w:r>
            <w:rPr>
              <w:highlight w:val="none"/>
            </w:rPr>
            <w:instrText xml:space="preserve"> PAGEREF _Toc24674 \h </w:instrText>
          </w:r>
          <w:r>
            <w:rPr>
              <w:highlight w:val="none"/>
            </w:rPr>
            <w:fldChar w:fldCharType="separate"/>
          </w:r>
          <w:r>
            <w:rPr>
              <w:highlight w:val="none"/>
            </w:rPr>
            <w:t>6</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"_Toc3658" </w:instrText>
          </w:r>
          <w:r>
            <w:rPr>
              <w:highlight w:val="none"/>
            </w:rPr>
            <w:fldChar w:fldCharType="separate"/>
          </w:r>
          <w:r>
            <w:rPr>
              <w:rFonts w:hint="eastAsia"/>
              <w:highlight w:val="none"/>
            </w:rPr>
            <w:t>三、招标文件内容、澄清及修改</w:t>
          </w:r>
          <w:r>
            <w:rPr>
              <w:highlight w:val="none"/>
            </w:rPr>
            <w:tab/>
          </w:r>
          <w:r>
            <w:rPr>
              <w:highlight w:val="none"/>
            </w:rPr>
            <w:fldChar w:fldCharType="begin"/>
          </w:r>
          <w:r>
            <w:rPr>
              <w:highlight w:val="none"/>
            </w:rPr>
            <w:instrText xml:space="preserve"> PAGEREF _Toc3658 \h </w:instrText>
          </w:r>
          <w:r>
            <w:rPr>
              <w:highlight w:val="none"/>
            </w:rPr>
            <w:fldChar w:fldCharType="separate"/>
          </w:r>
          <w:r>
            <w:rPr>
              <w:highlight w:val="none"/>
            </w:rPr>
            <w:t>7</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"_Toc13624" </w:instrText>
          </w:r>
          <w:r>
            <w:rPr>
              <w:highlight w:val="none"/>
            </w:rPr>
            <w:fldChar w:fldCharType="separate"/>
          </w:r>
          <w:r>
            <w:rPr>
              <w:rFonts w:hint="eastAsia"/>
              <w:highlight w:val="none"/>
            </w:rPr>
            <w:t>四、投标报价</w:t>
          </w:r>
          <w:r>
            <w:rPr>
              <w:highlight w:val="none"/>
            </w:rPr>
            <w:tab/>
          </w:r>
          <w:r>
            <w:rPr>
              <w:highlight w:val="none"/>
            </w:rPr>
            <w:fldChar w:fldCharType="begin"/>
          </w:r>
          <w:r>
            <w:rPr>
              <w:highlight w:val="none"/>
            </w:rPr>
            <w:instrText xml:space="preserve"> PAGEREF _Toc13624 \h </w:instrText>
          </w:r>
          <w:r>
            <w:rPr>
              <w:highlight w:val="none"/>
            </w:rPr>
            <w:fldChar w:fldCharType="separate"/>
          </w:r>
          <w:r>
            <w:rPr>
              <w:highlight w:val="none"/>
            </w:rPr>
            <w:t>8</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"_Toc23347" </w:instrText>
          </w:r>
          <w:r>
            <w:rPr>
              <w:highlight w:val="none"/>
            </w:rPr>
            <w:fldChar w:fldCharType="separate"/>
          </w:r>
          <w:r>
            <w:rPr>
              <w:rFonts w:hint="eastAsia"/>
              <w:highlight w:val="none"/>
            </w:rPr>
            <w:t>五、投标文件</w:t>
          </w:r>
          <w:r>
            <w:rPr>
              <w:highlight w:val="none"/>
            </w:rPr>
            <w:tab/>
          </w:r>
          <w:r>
            <w:rPr>
              <w:highlight w:val="none"/>
            </w:rPr>
            <w:fldChar w:fldCharType="begin"/>
          </w:r>
          <w:r>
            <w:rPr>
              <w:highlight w:val="none"/>
            </w:rPr>
            <w:instrText xml:space="preserve"> PAGEREF _Toc23347 \h </w:instrText>
          </w:r>
          <w:r>
            <w:rPr>
              <w:highlight w:val="none"/>
            </w:rPr>
            <w:fldChar w:fldCharType="separate"/>
          </w:r>
          <w:r>
            <w:rPr>
              <w:highlight w:val="none"/>
            </w:rPr>
            <w:t>9</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"_Toc21216" </w:instrText>
          </w:r>
          <w:r>
            <w:rPr>
              <w:highlight w:val="none"/>
            </w:rPr>
            <w:fldChar w:fldCharType="separate"/>
          </w:r>
          <w:r>
            <w:rPr>
              <w:rFonts w:hint="eastAsia"/>
              <w:highlight w:val="none"/>
            </w:rPr>
            <w:t>六、投标文件的递交</w:t>
          </w:r>
          <w:r>
            <w:rPr>
              <w:highlight w:val="none"/>
            </w:rPr>
            <w:tab/>
          </w:r>
          <w:r>
            <w:rPr>
              <w:highlight w:val="none"/>
            </w:rPr>
            <w:fldChar w:fldCharType="begin"/>
          </w:r>
          <w:r>
            <w:rPr>
              <w:highlight w:val="none"/>
            </w:rPr>
            <w:instrText xml:space="preserve"> PAGEREF _Toc21216 \h </w:instrText>
          </w:r>
          <w:r>
            <w:rPr>
              <w:highlight w:val="none"/>
            </w:rPr>
            <w:fldChar w:fldCharType="separate"/>
          </w:r>
          <w:r>
            <w:rPr>
              <w:highlight w:val="none"/>
            </w:rPr>
            <w:t>10</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"_Toc16685" </w:instrText>
          </w:r>
          <w:r>
            <w:rPr>
              <w:highlight w:val="none"/>
            </w:rPr>
            <w:fldChar w:fldCharType="separate"/>
          </w:r>
          <w:r>
            <w:rPr>
              <w:rFonts w:hint="eastAsia"/>
              <w:highlight w:val="none"/>
            </w:rPr>
            <w:t>七、开标、评标、定标</w:t>
          </w:r>
          <w:r>
            <w:rPr>
              <w:highlight w:val="none"/>
            </w:rPr>
            <w:tab/>
          </w:r>
          <w:r>
            <w:rPr>
              <w:highlight w:val="none"/>
            </w:rPr>
            <w:fldChar w:fldCharType="begin"/>
          </w:r>
          <w:r>
            <w:rPr>
              <w:highlight w:val="none"/>
            </w:rPr>
            <w:instrText xml:space="preserve"> PAGEREF _Toc16685 \h </w:instrText>
          </w:r>
          <w:r>
            <w:rPr>
              <w:highlight w:val="none"/>
            </w:rPr>
            <w:fldChar w:fldCharType="separate"/>
          </w:r>
          <w:r>
            <w:rPr>
              <w:highlight w:val="none"/>
            </w:rPr>
            <w:t>11</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"_Toc32698" </w:instrText>
          </w:r>
          <w:r>
            <w:rPr>
              <w:highlight w:val="none"/>
            </w:rPr>
            <w:fldChar w:fldCharType="separate"/>
          </w:r>
          <w:r>
            <w:rPr>
              <w:rFonts w:hint="eastAsia"/>
              <w:highlight w:val="none"/>
            </w:rPr>
            <w:t>八、技术标评分办法</w:t>
          </w:r>
          <w:r>
            <w:rPr>
              <w:highlight w:val="none"/>
            </w:rPr>
            <w:tab/>
          </w:r>
          <w:r>
            <w:rPr>
              <w:highlight w:val="none"/>
            </w:rPr>
            <w:fldChar w:fldCharType="begin"/>
          </w:r>
          <w:r>
            <w:rPr>
              <w:highlight w:val="none"/>
            </w:rPr>
            <w:instrText xml:space="preserve"> PAGEREF _Toc32698 \h </w:instrText>
          </w:r>
          <w:r>
            <w:rPr>
              <w:highlight w:val="none"/>
            </w:rPr>
            <w:fldChar w:fldCharType="separate"/>
          </w:r>
          <w:r>
            <w:rPr>
              <w:highlight w:val="none"/>
            </w:rPr>
            <w:t>12</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"_Toc19301" </w:instrText>
          </w:r>
          <w:r>
            <w:rPr>
              <w:highlight w:val="none"/>
            </w:rPr>
            <w:fldChar w:fldCharType="separate"/>
          </w:r>
          <w:r>
            <w:rPr>
              <w:rFonts w:hint="eastAsia"/>
              <w:highlight w:val="none"/>
            </w:rPr>
            <w:t>九、授予合同</w:t>
          </w:r>
          <w:r>
            <w:rPr>
              <w:highlight w:val="none"/>
            </w:rPr>
            <w:tab/>
          </w:r>
          <w:r>
            <w:rPr>
              <w:highlight w:val="none"/>
            </w:rPr>
            <w:fldChar w:fldCharType="begin"/>
          </w:r>
          <w:r>
            <w:rPr>
              <w:highlight w:val="none"/>
            </w:rPr>
            <w:instrText xml:space="preserve"> PAGEREF _Toc19301 \h </w:instrText>
          </w:r>
          <w:r>
            <w:rPr>
              <w:highlight w:val="none"/>
            </w:rPr>
            <w:fldChar w:fldCharType="separate"/>
          </w:r>
          <w:r>
            <w:rPr>
              <w:highlight w:val="none"/>
            </w:rPr>
            <w:t>13</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"_Toc6051" </w:instrText>
          </w:r>
          <w:r>
            <w:rPr>
              <w:highlight w:val="none"/>
            </w:rPr>
            <w:fldChar w:fldCharType="separate"/>
          </w:r>
          <w:r>
            <w:rPr>
              <w:rFonts w:hint="eastAsia"/>
              <w:highlight w:val="none"/>
            </w:rPr>
            <w:t>十、其他要求</w:t>
          </w:r>
          <w:r>
            <w:rPr>
              <w:highlight w:val="none"/>
            </w:rPr>
            <w:tab/>
          </w:r>
          <w:r>
            <w:rPr>
              <w:highlight w:val="none"/>
            </w:rPr>
            <w:fldChar w:fldCharType="begin"/>
          </w:r>
          <w:r>
            <w:rPr>
              <w:highlight w:val="none"/>
            </w:rPr>
            <w:instrText xml:space="preserve"> PAGEREF _Toc6051 \h </w:instrText>
          </w:r>
          <w:r>
            <w:rPr>
              <w:highlight w:val="none"/>
            </w:rPr>
            <w:fldChar w:fldCharType="separate"/>
          </w:r>
          <w:r>
            <w:rPr>
              <w:highlight w:val="none"/>
            </w:rPr>
            <w:t>17</w:t>
          </w:r>
          <w:r>
            <w:rPr>
              <w:highlight w:val="none"/>
            </w:rPr>
            <w:fldChar w:fldCharType="end"/>
          </w:r>
          <w:r>
            <w:rPr>
              <w:highlight w:val="none"/>
            </w:rPr>
            <w:fldChar w:fldCharType="end"/>
          </w:r>
        </w:p>
        <w:p>
          <w:pPr>
            <w:pStyle w:val="16"/>
            <w:tabs>
              <w:tab w:val="right" w:leader="dot" w:pos="8697"/>
            </w:tabs>
            <w:rPr>
              <w:highlight w:val="none"/>
            </w:rPr>
          </w:pPr>
          <w:r>
            <w:rPr>
              <w:highlight w:val="none"/>
            </w:rPr>
            <w:fldChar w:fldCharType="begin"/>
          </w:r>
          <w:r>
            <w:rPr>
              <w:highlight w:val="none"/>
            </w:rPr>
            <w:instrText xml:space="preserve"> HYPERLINK \l "_Toc13999" </w:instrText>
          </w:r>
          <w:r>
            <w:rPr>
              <w:highlight w:val="none"/>
            </w:rPr>
            <w:fldChar w:fldCharType="separate"/>
          </w:r>
          <w:r>
            <w:rPr>
              <w:rFonts w:hint="eastAsia"/>
              <w:highlight w:val="none"/>
            </w:rPr>
            <w:t>第二章： 投标文件格式</w:t>
          </w:r>
          <w:r>
            <w:rPr>
              <w:highlight w:val="none"/>
            </w:rPr>
            <w:tab/>
          </w:r>
          <w:r>
            <w:rPr>
              <w:highlight w:val="none"/>
            </w:rPr>
            <w:fldChar w:fldCharType="begin"/>
          </w:r>
          <w:r>
            <w:rPr>
              <w:highlight w:val="none"/>
            </w:rPr>
            <w:instrText xml:space="preserve"> PAGEREF _Toc13999 \h </w:instrText>
          </w:r>
          <w:r>
            <w:rPr>
              <w:highlight w:val="none"/>
            </w:rPr>
            <w:fldChar w:fldCharType="separate"/>
          </w:r>
          <w:r>
            <w:rPr>
              <w:highlight w:val="none"/>
            </w:rPr>
            <w:t>18</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"_Toc21697" </w:instrText>
          </w:r>
          <w:r>
            <w:rPr>
              <w:highlight w:val="none"/>
            </w:rPr>
            <w:fldChar w:fldCharType="separate"/>
          </w:r>
          <w:r>
            <w:rPr>
              <w:rFonts w:hint="eastAsia"/>
              <w:highlight w:val="none"/>
            </w:rPr>
            <w:t>一、投标承诺函</w:t>
          </w:r>
          <w:r>
            <w:rPr>
              <w:highlight w:val="none"/>
            </w:rPr>
            <w:tab/>
          </w:r>
          <w:r>
            <w:rPr>
              <w:highlight w:val="none"/>
            </w:rPr>
            <w:fldChar w:fldCharType="begin"/>
          </w:r>
          <w:r>
            <w:rPr>
              <w:highlight w:val="none"/>
            </w:rPr>
            <w:instrText xml:space="preserve"> PAGEREF _Toc21697 \h </w:instrText>
          </w:r>
          <w:r>
            <w:rPr>
              <w:highlight w:val="none"/>
            </w:rPr>
            <w:fldChar w:fldCharType="separate"/>
          </w:r>
          <w:r>
            <w:rPr>
              <w:highlight w:val="none"/>
            </w:rPr>
            <w:t>19</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"_Toc26839" </w:instrText>
          </w:r>
          <w:r>
            <w:rPr>
              <w:highlight w:val="none"/>
            </w:rPr>
            <w:fldChar w:fldCharType="separate"/>
          </w:r>
          <w:r>
            <w:rPr>
              <w:rFonts w:hint="eastAsia"/>
              <w:highlight w:val="none"/>
            </w:rPr>
            <w:t>二、法定代表人资格证明书</w:t>
          </w:r>
          <w:r>
            <w:rPr>
              <w:highlight w:val="none"/>
            </w:rPr>
            <w:tab/>
          </w:r>
          <w:r>
            <w:rPr>
              <w:highlight w:val="none"/>
            </w:rPr>
            <w:fldChar w:fldCharType="begin"/>
          </w:r>
          <w:r>
            <w:rPr>
              <w:highlight w:val="none"/>
            </w:rPr>
            <w:instrText xml:space="preserve"> PAGEREF _Toc26839 \h </w:instrText>
          </w:r>
          <w:r>
            <w:rPr>
              <w:highlight w:val="none"/>
            </w:rPr>
            <w:fldChar w:fldCharType="separate"/>
          </w:r>
          <w:r>
            <w:rPr>
              <w:highlight w:val="none"/>
            </w:rPr>
            <w:t>20</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"_Toc487" </w:instrText>
          </w:r>
          <w:r>
            <w:rPr>
              <w:highlight w:val="none"/>
            </w:rPr>
            <w:fldChar w:fldCharType="separate"/>
          </w:r>
          <w:r>
            <w:rPr>
              <w:rFonts w:hint="eastAsia"/>
              <w:highlight w:val="none"/>
            </w:rPr>
            <w:t>三、授权委托书</w:t>
          </w:r>
          <w:r>
            <w:rPr>
              <w:highlight w:val="none"/>
            </w:rPr>
            <w:tab/>
          </w:r>
          <w:r>
            <w:rPr>
              <w:highlight w:val="none"/>
            </w:rPr>
            <w:fldChar w:fldCharType="begin"/>
          </w:r>
          <w:r>
            <w:rPr>
              <w:highlight w:val="none"/>
            </w:rPr>
            <w:instrText xml:space="preserve"> PAGEREF _Toc487 \h </w:instrText>
          </w:r>
          <w:r>
            <w:rPr>
              <w:highlight w:val="none"/>
            </w:rPr>
            <w:fldChar w:fldCharType="separate"/>
          </w:r>
          <w:r>
            <w:rPr>
              <w:highlight w:val="none"/>
            </w:rPr>
            <w:t>21</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"_Toc5682" </w:instrText>
          </w:r>
          <w:r>
            <w:rPr>
              <w:highlight w:val="none"/>
            </w:rPr>
            <w:fldChar w:fldCharType="separate"/>
          </w:r>
          <w:r>
            <w:rPr>
              <w:rFonts w:hint="eastAsia"/>
              <w:highlight w:val="none"/>
            </w:rPr>
            <w:t>四、投标综合说明</w:t>
          </w:r>
          <w:r>
            <w:rPr>
              <w:highlight w:val="none"/>
            </w:rPr>
            <w:tab/>
          </w:r>
          <w:r>
            <w:rPr>
              <w:highlight w:val="none"/>
            </w:rPr>
            <w:fldChar w:fldCharType="begin"/>
          </w:r>
          <w:r>
            <w:rPr>
              <w:highlight w:val="none"/>
            </w:rPr>
            <w:instrText xml:space="preserve"> PAGEREF _Toc5682 \h </w:instrText>
          </w:r>
          <w:r>
            <w:rPr>
              <w:highlight w:val="none"/>
            </w:rPr>
            <w:fldChar w:fldCharType="separate"/>
          </w:r>
          <w:r>
            <w:rPr>
              <w:highlight w:val="none"/>
            </w:rPr>
            <w:t>22</w:t>
          </w:r>
          <w:r>
            <w:rPr>
              <w:highlight w:val="none"/>
            </w:rPr>
            <w:fldChar w:fldCharType="end"/>
          </w:r>
          <w:r>
            <w:rPr>
              <w:highlight w:val="none"/>
            </w:rPr>
            <w:fldChar w:fldCharType="end"/>
          </w:r>
        </w:p>
        <w:p>
          <w:pPr>
            <w:pStyle w:val="8"/>
            <w:tabs>
              <w:tab w:val="right" w:leader="dot" w:pos="8697"/>
            </w:tabs>
            <w:rPr>
              <w:highlight w:val="none"/>
            </w:rPr>
          </w:pPr>
          <w:r>
            <w:rPr>
              <w:highlight w:val="none"/>
            </w:rPr>
            <w:fldChar w:fldCharType="begin"/>
          </w:r>
          <w:r>
            <w:rPr>
              <w:highlight w:val="none"/>
            </w:rPr>
            <w:instrText xml:space="preserve"> HYPERLINK \l "_Toc23691" </w:instrText>
          </w:r>
          <w:r>
            <w:rPr>
              <w:highlight w:val="none"/>
            </w:rPr>
            <w:fldChar w:fldCharType="separate"/>
          </w:r>
          <w:r>
            <w:rPr>
              <w:rFonts w:hint="eastAsia"/>
              <w:highlight w:val="none"/>
            </w:rPr>
            <w:t>六、清单报价</w:t>
          </w:r>
          <w:r>
            <w:rPr>
              <w:highlight w:val="none"/>
            </w:rPr>
            <w:tab/>
          </w:r>
          <w:r>
            <w:rPr>
              <w:highlight w:val="none"/>
            </w:rPr>
            <w:fldChar w:fldCharType="begin"/>
          </w:r>
          <w:r>
            <w:rPr>
              <w:highlight w:val="none"/>
            </w:rPr>
            <w:instrText xml:space="preserve"> PAGEREF _Toc23691 \h </w:instrText>
          </w:r>
          <w:r>
            <w:rPr>
              <w:highlight w:val="none"/>
            </w:rPr>
            <w:fldChar w:fldCharType="separate"/>
          </w:r>
          <w:r>
            <w:rPr>
              <w:highlight w:val="none"/>
            </w:rPr>
            <w:t>26</w:t>
          </w:r>
          <w:r>
            <w:rPr>
              <w:highlight w:val="none"/>
            </w:rPr>
            <w:fldChar w:fldCharType="end"/>
          </w:r>
          <w:r>
            <w:rPr>
              <w:highlight w:val="none"/>
            </w:rPr>
            <w:fldChar w:fldCharType="end"/>
          </w:r>
        </w:p>
        <w:p>
          <w:pPr>
            <w:pStyle w:val="16"/>
            <w:tabs>
              <w:tab w:val="right" w:leader="dot" w:pos="8697"/>
            </w:tabs>
            <w:rPr>
              <w:highlight w:val="none"/>
            </w:rPr>
          </w:pPr>
          <w:r>
            <w:rPr>
              <w:highlight w:val="none"/>
            </w:rPr>
            <w:fldChar w:fldCharType="begin"/>
          </w:r>
          <w:r>
            <w:rPr>
              <w:highlight w:val="none"/>
            </w:rPr>
            <w:instrText xml:space="preserve"> HYPERLINK \l "_Toc7043" </w:instrText>
          </w:r>
          <w:r>
            <w:rPr>
              <w:highlight w:val="none"/>
            </w:rPr>
            <w:fldChar w:fldCharType="separate"/>
          </w:r>
          <w:r>
            <w:rPr>
              <w:rFonts w:hint="eastAsia"/>
              <w:highlight w:val="none"/>
            </w:rPr>
            <w:t>第三章： 合同条件</w:t>
          </w:r>
          <w:r>
            <w:rPr>
              <w:highlight w:val="none"/>
            </w:rPr>
            <w:tab/>
          </w:r>
          <w:r>
            <w:rPr>
              <w:highlight w:val="none"/>
            </w:rPr>
            <w:fldChar w:fldCharType="begin"/>
          </w:r>
          <w:r>
            <w:rPr>
              <w:highlight w:val="none"/>
            </w:rPr>
            <w:instrText xml:space="preserve"> PAGEREF _Toc7043 \h </w:instrText>
          </w:r>
          <w:r>
            <w:rPr>
              <w:highlight w:val="none"/>
            </w:rPr>
            <w:fldChar w:fldCharType="separate"/>
          </w:r>
          <w:r>
            <w:rPr>
              <w:highlight w:val="none"/>
            </w:rPr>
            <w:t>28</w:t>
          </w:r>
          <w:r>
            <w:rPr>
              <w:highlight w:val="none"/>
            </w:rPr>
            <w:fldChar w:fldCharType="end"/>
          </w:r>
          <w:r>
            <w:rPr>
              <w:highlight w:val="none"/>
            </w:rPr>
            <w:fldChar w:fldCharType="end"/>
          </w:r>
        </w:p>
        <w:p>
          <w:pPr>
            <w:pStyle w:val="48"/>
            <w:jc w:val="center"/>
            <w:rPr>
              <w:highlight w:val="none"/>
            </w:rPr>
          </w:pPr>
          <w:r>
            <w:rPr>
              <w:rFonts w:hint="eastAsia" w:asciiTheme="majorEastAsia" w:hAnsiTheme="majorEastAsia"/>
              <w:bCs/>
              <w:szCs w:val="21"/>
              <w:highlight w:val="none"/>
            </w:rPr>
            <w:t xml:space="preserve"> </w:t>
          </w:r>
          <w:r>
            <w:rPr>
              <w:rFonts w:asciiTheme="majorEastAsia" w:hAnsiTheme="majorEastAsia"/>
              <w:b/>
              <w:bCs/>
              <w:szCs w:val="21"/>
              <w:highlight w:val="none"/>
              <w:lang w:val="zh-CN"/>
            </w:rPr>
            <w:fldChar w:fldCharType="end"/>
          </w:r>
        </w:p>
      </w:sdtContent>
    </w:sdt>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tabs>
          <w:tab w:val="left" w:pos="1876"/>
        </w:tabs>
        <w:jc w:val="left"/>
        <w:rPr>
          <w:highlight w:val="none"/>
          <w:lang w:val="zh-CN"/>
        </w:rPr>
        <w:sectPr>
          <w:headerReference r:id="rId5" w:type="default"/>
          <w:pgSz w:w="11906" w:h="16838"/>
          <w:pgMar w:top="1418" w:right="1463" w:bottom="1440" w:left="1746" w:header="851" w:footer="992" w:gutter="0"/>
          <w:pgNumType w:start="1"/>
          <w:cols w:space="425" w:num="1"/>
          <w:docGrid w:type="lines" w:linePitch="312" w:charSpace="0"/>
        </w:sectPr>
      </w:pPr>
      <w:r>
        <w:rPr>
          <w:rFonts w:hint="eastAsia"/>
          <w:highlight w:val="none"/>
          <w:lang w:val="zh-CN"/>
        </w:rPr>
        <w:tab/>
      </w:r>
    </w:p>
    <w:p>
      <w:pPr>
        <w:pStyle w:val="2"/>
        <w:rPr>
          <w:rFonts w:cs="Times New Roman"/>
          <w:highlight w:val="none"/>
        </w:rPr>
      </w:pPr>
      <w:bookmarkStart w:id="12" w:name="_Toc22373"/>
      <w:bookmarkStart w:id="13" w:name="_Toc102986667"/>
      <w:bookmarkStart w:id="14" w:name="_Toc102986744"/>
      <w:r>
        <w:rPr>
          <w:rFonts w:hint="eastAsia"/>
          <w:highlight w:val="none"/>
        </w:rPr>
        <w:t>第一部分：招标邀请函</w:t>
      </w:r>
      <w:bookmarkEnd w:id="12"/>
      <w:bookmarkEnd w:id="13"/>
      <w:bookmarkEnd w:id="14"/>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瑞纳智能研发实验室项目</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招标邀请函</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r>
        <w:rPr>
          <w:rFonts w:hint="eastAsia" w:asciiTheme="minorEastAsia" w:hAnsiTheme="minorEastAsia"/>
          <w:szCs w:val="21"/>
          <w:highlight w:val="none"/>
        </w:rPr>
        <w:t>邀请函编号</w:t>
      </w:r>
      <w:r>
        <w:rPr>
          <w:rFonts w:hint="eastAsia" w:asciiTheme="minorEastAsia" w:hAnsiTheme="minorEastAsia"/>
          <w:b/>
          <w:bCs/>
          <w:szCs w:val="21"/>
          <w:highlight w:val="none"/>
        </w:rPr>
        <w:t>[项目RNB2024003-A</w:t>
      </w:r>
      <w:r>
        <w:rPr>
          <w:rFonts w:hint="eastAsia" w:asciiTheme="minorEastAsia" w:hAnsiTheme="minorEastAsia"/>
          <w:b/>
          <w:bCs/>
          <w:szCs w:val="21"/>
          <w:highlight w:val="none"/>
          <w:vertAlign w:val="subscript"/>
        </w:rPr>
        <w:t>0</w:t>
      </w:r>
      <w:r>
        <w:rPr>
          <w:rFonts w:hint="eastAsia" w:asciiTheme="minorEastAsia" w:hAnsiTheme="minorEastAsia"/>
          <w:b/>
          <w:bCs/>
          <w:szCs w:val="21"/>
          <w:highlight w:val="none"/>
        </w:rPr>
        <w:t>]</w:t>
      </w:r>
    </w:p>
    <w:p>
      <w:pPr>
        <w:spacing w:line="360" w:lineRule="auto"/>
        <w:rPr>
          <w:rFonts w:asciiTheme="minorEastAsia" w:hAnsiTheme="minorEastAsia"/>
          <w:szCs w:val="21"/>
          <w:highlight w:val="none"/>
        </w:rPr>
      </w:pP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我公司研发实验室项目，将采用邀请招标的方式，对通过预审的投标人授予标书。</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1、文件编号：</w:t>
      </w:r>
      <w:r>
        <w:rPr>
          <w:rFonts w:hint="eastAsia" w:asciiTheme="minorEastAsia" w:hAnsiTheme="minorEastAsia"/>
          <w:szCs w:val="21"/>
          <w:highlight w:val="none"/>
        </w:rPr>
        <w:t>(项目RNB2024004-A</w:t>
      </w:r>
      <w:r>
        <w:rPr>
          <w:rFonts w:hint="eastAsia" w:asciiTheme="minorEastAsia" w:hAnsiTheme="minorEastAsia"/>
          <w:szCs w:val="21"/>
          <w:highlight w:val="none"/>
          <w:vertAlign w:val="subscript"/>
        </w:rPr>
        <w:t>0</w:t>
      </w:r>
      <w:r>
        <w:rPr>
          <w:rFonts w:hint="eastAsia" w:asciiTheme="minorEastAsia" w:hAnsiTheme="minorEastAsia"/>
          <w:szCs w:val="21"/>
          <w:highlight w:val="none"/>
        </w:rPr>
        <w:t>)</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2、项目名称</w:t>
      </w:r>
      <w:r>
        <w:rPr>
          <w:rFonts w:hint="eastAsia" w:asciiTheme="minorEastAsia" w:hAnsiTheme="minorEastAsia"/>
          <w:szCs w:val="21"/>
          <w:highlight w:val="none"/>
        </w:rPr>
        <w:t xml:space="preserve">：瑞纳智能研发实验室项目 </w:t>
      </w:r>
    </w:p>
    <w:p>
      <w:pPr>
        <w:spacing w:line="360" w:lineRule="auto"/>
        <w:ind w:firstLine="422" w:firstLineChars="200"/>
        <w:rPr>
          <w:rFonts w:asciiTheme="minorEastAsia" w:hAnsiTheme="minorEastAsia"/>
          <w:spacing w:val="-20"/>
          <w:szCs w:val="21"/>
          <w:highlight w:val="none"/>
        </w:rPr>
      </w:pPr>
      <w:r>
        <w:rPr>
          <w:rFonts w:hint="eastAsia" w:asciiTheme="minorEastAsia" w:hAnsiTheme="minorEastAsia"/>
          <w:b/>
          <w:bCs/>
          <w:szCs w:val="21"/>
          <w:highlight w:val="none"/>
        </w:rPr>
        <w:t>3、领取标书时间</w:t>
      </w:r>
      <w:r>
        <w:rPr>
          <w:rFonts w:hint="eastAsia" w:asciiTheme="minorEastAsia" w:hAnsiTheme="minorEastAsia"/>
          <w:szCs w:val="21"/>
          <w:highlight w:val="none"/>
        </w:rPr>
        <w:t>：2024年3月</w:t>
      </w:r>
      <w:r>
        <w:rPr>
          <w:rFonts w:hint="eastAsia" w:asciiTheme="minorEastAsia" w:hAnsiTheme="minorEastAsia"/>
          <w:szCs w:val="21"/>
          <w:highlight w:val="none"/>
          <w:lang w:val="en-US" w:eastAsia="zh-CN"/>
        </w:rPr>
        <w:t>11</w:t>
      </w:r>
      <w:r>
        <w:rPr>
          <w:rFonts w:hint="eastAsia" w:asciiTheme="minorEastAsia" w:hAnsiTheme="minorEastAsia"/>
          <w:szCs w:val="21"/>
          <w:highlight w:val="none"/>
        </w:rPr>
        <w:t>日8：</w:t>
      </w:r>
      <w:r>
        <w:rPr>
          <w:rFonts w:asciiTheme="minorEastAsia" w:hAnsiTheme="minorEastAsia"/>
          <w:szCs w:val="21"/>
          <w:highlight w:val="none"/>
        </w:rPr>
        <w:t>3</w:t>
      </w:r>
      <w:r>
        <w:rPr>
          <w:rFonts w:hint="eastAsia" w:asciiTheme="minorEastAsia" w:hAnsiTheme="minorEastAsia"/>
          <w:szCs w:val="21"/>
          <w:highlight w:val="none"/>
        </w:rPr>
        <w:t>0-17：30</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4、标书发放地点</w:t>
      </w:r>
      <w:r>
        <w:rPr>
          <w:rFonts w:hint="eastAsia" w:asciiTheme="minorEastAsia" w:hAnsiTheme="minorEastAsia"/>
          <w:szCs w:val="21"/>
          <w:highlight w:val="none"/>
        </w:rPr>
        <w:t>：瑞纳智能设备股份有限公司办公楼四楼</w:t>
      </w:r>
      <w:r>
        <w:rPr>
          <w:rFonts w:asciiTheme="minorEastAsia" w:hAnsiTheme="minorEastAsia"/>
          <w:szCs w:val="21"/>
          <w:highlight w:val="none"/>
        </w:rPr>
        <w:t>407</w:t>
      </w:r>
      <w:r>
        <w:rPr>
          <w:rFonts w:hint="eastAsia" w:asciiTheme="minorEastAsia" w:hAnsiTheme="minorEastAsia"/>
          <w:szCs w:val="21"/>
          <w:highlight w:val="none"/>
        </w:rPr>
        <w:t>室或通过邮箱发放</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5、答疑截止时间</w:t>
      </w:r>
      <w:r>
        <w:rPr>
          <w:rFonts w:hint="eastAsia" w:asciiTheme="minorEastAsia" w:hAnsiTheme="minorEastAsia"/>
          <w:szCs w:val="21"/>
          <w:highlight w:val="none"/>
        </w:rPr>
        <w:t>：2024年3月1</w:t>
      </w:r>
      <w:r>
        <w:rPr>
          <w:rFonts w:hint="eastAsia" w:asciiTheme="minorEastAsia" w:hAnsiTheme="minorEastAsia"/>
          <w:szCs w:val="21"/>
          <w:highlight w:val="none"/>
          <w:lang w:val="en-US" w:eastAsia="zh-CN"/>
        </w:rPr>
        <w:t>8</w:t>
      </w:r>
      <w:r>
        <w:rPr>
          <w:rFonts w:hint="eastAsia" w:asciiTheme="minorEastAsia" w:hAnsiTheme="minorEastAsia"/>
          <w:szCs w:val="21"/>
          <w:highlight w:val="none"/>
        </w:rPr>
        <w:t>日下午5：00</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6、投标截止时间</w:t>
      </w:r>
      <w:r>
        <w:rPr>
          <w:rFonts w:hint="eastAsia" w:asciiTheme="minorEastAsia" w:hAnsiTheme="minorEastAsia"/>
          <w:szCs w:val="21"/>
          <w:highlight w:val="none"/>
        </w:rPr>
        <w:t>：2024年3月</w:t>
      </w:r>
      <w:r>
        <w:rPr>
          <w:rFonts w:hint="eastAsia" w:asciiTheme="minorEastAsia" w:hAnsiTheme="minorEastAsia"/>
          <w:szCs w:val="21"/>
          <w:highlight w:val="none"/>
          <w:lang w:val="en-US" w:eastAsia="zh-CN"/>
        </w:rPr>
        <w:t>21</w:t>
      </w:r>
      <w:r>
        <w:rPr>
          <w:rFonts w:hint="eastAsia" w:asciiTheme="minorEastAsia" w:hAnsiTheme="minorEastAsia"/>
          <w:szCs w:val="21"/>
          <w:highlight w:val="none"/>
        </w:rPr>
        <w:t>日下午5：00</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7、招标联系人</w:t>
      </w:r>
      <w:r>
        <w:rPr>
          <w:rFonts w:hint="eastAsia" w:asciiTheme="minorEastAsia" w:hAnsiTheme="minorEastAsia"/>
          <w:szCs w:val="21"/>
          <w:highlight w:val="none"/>
        </w:rPr>
        <w:t>：李侠   联系电话：</w:t>
      </w:r>
      <w:r>
        <w:rPr>
          <w:rFonts w:asciiTheme="minorEastAsia" w:hAnsiTheme="minorEastAsia"/>
          <w:szCs w:val="21"/>
          <w:highlight w:val="none"/>
        </w:rPr>
        <w:t>17705697641</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8、招标单位：</w:t>
      </w:r>
      <w:r>
        <w:rPr>
          <w:rFonts w:hint="eastAsia" w:asciiTheme="minorEastAsia" w:hAnsiTheme="minorEastAsia"/>
          <w:szCs w:val="21"/>
          <w:highlight w:val="none"/>
        </w:rPr>
        <w:t>瑞纳智能设备股份有限公司</w:t>
      </w: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spacing w:line="360" w:lineRule="auto"/>
        <w:rPr>
          <w:rFonts w:asciiTheme="minorEastAsia" w:hAnsiTheme="minorEastAsia"/>
          <w:b/>
          <w:bCs/>
          <w:szCs w:val="21"/>
          <w:highlight w:val="none"/>
        </w:rPr>
      </w:pPr>
    </w:p>
    <w:p>
      <w:pPr>
        <w:pStyle w:val="2"/>
        <w:rPr>
          <w:highlight w:val="none"/>
        </w:rPr>
      </w:pPr>
      <w:bookmarkStart w:id="15" w:name="_Toc102986668"/>
      <w:bookmarkStart w:id="16" w:name="_Toc102986745"/>
      <w:bookmarkStart w:id="17" w:name="_Toc7283"/>
      <w:r>
        <w:rPr>
          <w:rFonts w:hint="eastAsia"/>
          <w:highlight w:val="none"/>
        </w:rPr>
        <w:t>第二部分：招标文件</w:t>
      </w:r>
      <w:bookmarkEnd w:id="15"/>
      <w:bookmarkEnd w:id="16"/>
      <w:bookmarkEnd w:id="17"/>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目    录</w:t>
      </w:r>
    </w:p>
    <w:p>
      <w:pPr>
        <w:spacing w:line="360" w:lineRule="auto"/>
        <w:ind w:firstLine="675" w:firstLineChars="320"/>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第一章  投标须知</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一、前附表  </w:t>
      </w:r>
    </w:p>
    <w:p>
      <w:pPr>
        <w:spacing w:line="360" w:lineRule="auto"/>
        <w:rPr>
          <w:rFonts w:asciiTheme="minorEastAsia" w:hAnsiTheme="minorEastAsia"/>
          <w:szCs w:val="21"/>
          <w:highlight w:val="none"/>
        </w:rPr>
      </w:pPr>
      <w:r>
        <w:rPr>
          <w:rFonts w:hint="eastAsia" w:asciiTheme="minorEastAsia" w:hAnsiTheme="minorEastAsia"/>
          <w:szCs w:val="21"/>
          <w:highlight w:val="none"/>
        </w:rPr>
        <w:t>二、总则</w:t>
      </w:r>
    </w:p>
    <w:p>
      <w:pPr>
        <w:spacing w:line="360" w:lineRule="auto"/>
        <w:rPr>
          <w:rFonts w:asciiTheme="minorEastAsia" w:hAnsiTheme="minorEastAsia"/>
          <w:szCs w:val="21"/>
          <w:highlight w:val="none"/>
        </w:rPr>
      </w:pPr>
      <w:r>
        <w:rPr>
          <w:rFonts w:hint="eastAsia" w:asciiTheme="minorEastAsia" w:hAnsiTheme="minorEastAsia"/>
          <w:szCs w:val="21"/>
          <w:highlight w:val="none"/>
        </w:rPr>
        <w:t>三、招标文件内容、澄清及修改</w:t>
      </w:r>
    </w:p>
    <w:p>
      <w:pPr>
        <w:spacing w:line="360" w:lineRule="auto"/>
        <w:rPr>
          <w:rFonts w:asciiTheme="minorEastAsia" w:hAnsiTheme="minorEastAsia"/>
          <w:szCs w:val="21"/>
          <w:highlight w:val="none"/>
        </w:rPr>
      </w:pPr>
      <w:r>
        <w:rPr>
          <w:rFonts w:hint="eastAsia" w:asciiTheme="minorEastAsia" w:hAnsiTheme="minorEastAsia"/>
          <w:szCs w:val="21"/>
          <w:highlight w:val="none"/>
        </w:rPr>
        <w:t>四、投标报价</w:t>
      </w:r>
    </w:p>
    <w:p>
      <w:pPr>
        <w:spacing w:line="360" w:lineRule="auto"/>
        <w:rPr>
          <w:rFonts w:asciiTheme="minorEastAsia" w:hAnsiTheme="minorEastAsia"/>
          <w:szCs w:val="21"/>
          <w:highlight w:val="none"/>
        </w:rPr>
      </w:pPr>
      <w:r>
        <w:rPr>
          <w:rFonts w:hint="eastAsia" w:asciiTheme="minorEastAsia" w:hAnsiTheme="minorEastAsia"/>
          <w:szCs w:val="21"/>
          <w:highlight w:val="none"/>
        </w:rPr>
        <w:t>五、投标文件</w:t>
      </w:r>
    </w:p>
    <w:p>
      <w:pPr>
        <w:spacing w:line="360" w:lineRule="auto"/>
        <w:rPr>
          <w:rFonts w:asciiTheme="minorEastAsia" w:hAnsiTheme="minorEastAsia"/>
          <w:szCs w:val="21"/>
          <w:highlight w:val="none"/>
        </w:rPr>
      </w:pPr>
      <w:r>
        <w:rPr>
          <w:rFonts w:hint="eastAsia" w:asciiTheme="minorEastAsia" w:hAnsiTheme="minorEastAsia"/>
          <w:szCs w:val="21"/>
          <w:highlight w:val="none"/>
        </w:rPr>
        <w:t>六、投标文件的递交</w:t>
      </w:r>
    </w:p>
    <w:p>
      <w:pPr>
        <w:spacing w:line="360" w:lineRule="auto"/>
        <w:rPr>
          <w:rFonts w:asciiTheme="minorEastAsia" w:hAnsiTheme="minorEastAsia"/>
          <w:szCs w:val="21"/>
          <w:highlight w:val="none"/>
        </w:rPr>
      </w:pPr>
      <w:r>
        <w:rPr>
          <w:rFonts w:hint="eastAsia" w:asciiTheme="minorEastAsia" w:hAnsiTheme="minorEastAsia"/>
          <w:szCs w:val="21"/>
          <w:highlight w:val="none"/>
        </w:rPr>
        <w:t>七、开标、评标、定标</w:t>
      </w:r>
    </w:p>
    <w:p>
      <w:pPr>
        <w:spacing w:line="360" w:lineRule="auto"/>
        <w:rPr>
          <w:rFonts w:asciiTheme="minorEastAsia" w:hAnsiTheme="minorEastAsia"/>
          <w:szCs w:val="21"/>
          <w:highlight w:val="none"/>
        </w:rPr>
      </w:pPr>
      <w:r>
        <w:rPr>
          <w:rFonts w:hint="eastAsia" w:asciiTheme="minorEastAsia" w:hAnsiTheme="minorEastAsia"/>
          <w:szCs w:val="21"/>
          <w:highlight w:val="none"/>
        </w:rPr>
        <w:t>八、技术标评分办法</w:t>
      </w:r>
    </w:p>
    <w:p>
      <w:pPr>
        <w:spacing w:line="360" w:lineRule="auto"/>
        <w:rPr>
          <w:rFonts w:asciiTheme="minorEastAsia" w:hAnsiTheme="minorEastAsia"/>
          <w:szCs w:val="21"/>
          <w:highlight w:val="none"/>
        </w:rPr>
      </w:pPr>
      <w:r>
        <w:rPr>
          <w:rFonts w:hint="eastAsia" w:asciiTheme="minorEastAsia" w:hAnsiTheme="minorEastAsia"/>
          <w:szCs w:val="21"/>
          <w:highlight w:val="none"/>
        </w:rPr>
        <w:t>九、授予合同</w:t>
      </w:r>
    </w:p>
    <w:p>
      <w:pPr>
        <w:spacing w:line="360" w:lineRule="auto"/>
        <w:rPr>
          <w:rFonts w:asciiTheme="minorEastAsia" w:hAnsiTheme="minorEastAsia"/>
          <w:szCs w:val="21"/>
          <w:highlight w:val="none"/>
        </w:rPr>
      </w:pPr>
      <w:r>
        <w:rPr>
          <w:rFonts w:hint="eastAsia" w:asciiTheme="minorEastAsia" w:hAnsiTheme="minorEastAsia"/>
          <w:szCs w:val="21"/>
          <w:highlight w:val="none"/>
        </w:rPr>
        <w:t>十、其他要求</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第二章 投标文件格式</w:t>
      </w:r>
    </w:p>
    <w:p>
      <w:pPr>
        <w:spacing w:line="360" w:lineRule="auto"/>
        <w:rPr>
          <w:rFonts w:asciiTheme="minorEastAsia" w:hAnsiTheme="minorEastAsia"/>
          <w:szCs w:val="21"/>
          <w:highlight w:val="none"/>
        </w:rPr>
      </w:pPr>
      <w:r>
        <w:rPr>
          <w:rFonts w:hint="eastAsia" w:asciiTheme="minorEastAsia" w:hAnsiTheme="minorEastAsia"/>
          <w:szCs w:val="21"/>
          <w:highlight w:val="none"/>
        </w:rPr>
        <w:t>一、投标承诺函</w:t>
      </w:r>
    </w:p>
    <w:p>
      <w:pPr>
        <w:spacing w:line="360" w:lineRule="auto"/>
        <w:rPr>
          <w:rFonts w:asciiTheme="minorEastAsia" w:hAnsiTheme="minorEastAsia"/>
          <w:szCs w:val="21"/>
          <w:highlight w:val="none"/>
        </w:rPr>
      </w:pPr>
      <w:r>
        <w:rPr>
          <w:rFonts w:hint="eastAsia" w:asciiTheme="minorEastAsia" w:hAnsiTheme="minorEastAsia"/>
          <w:szCs w:val="21"/>
          <w:highlight w:val="none"/>
        </w:rPr>
        <w:t>二、法定代表人资格证明书</w:t>
      </w:r>
    </w:p>
    <w:p>
      <w:pPr>
        <w:spacing w:line="360" w:lineRule="auto"/>
        <w:rPr>
          <w:rFonts w:asciiTheme="minorEastAsia" w:hAnsiTheme="minorEastAsia"/>
          <w:szCs w:val="21"/>
          <w:highlight w:val="none"/>
        </w:rPr>
      </w:pPr>
      <w:r>
        <w:rPr>
          <w:rFonts w:hint="eastAsia" w:asciiTheme="minorEastAsia" w:hAnsiTheme="minorEastAsia"/>
          <w:szCs w:val="21"/>
          <w:highlight w:val="none"/>
        </w:rPr>
        <w:t>三、授权委托书</w:t>
      </w:r>
    </w:p>
    <w:p>
      <w:pPr>
        <w:spacing w:line="360" w:lineRule="auto"/>
        <w:rPr>
          <w:rFonts w:asciiTheme="minorEastAsia" w:hAnsiTheme="minorEastAsia"/>
          <w:szCs w:val="21"/>
          <w:highlight w:val="none"/>
        </w:rPr>
      </w:pPr>
      <w:r>
        <w:rPr>
          <w:rFonts w:hint="eastAsia" w:asciiTheme="minorEastAsia" w:hAnsiTheme="minorEastAsia"/>
          <w:szCs w:val="21"/>
          <w:highlight w:val="none"/>
        </w:rPr>
        <w:t>四、投标综合说明</w:t>
      </w:r>
    </w:p>
    <w:p>
      <w:pPr>
        <w:spacing w:line="360" w:lineRule="auto"/>
        <w:rPr>
          <w:rFonts w:asciiTheme="minorEastAsia" w:hAnsiTheme="minorEastAsia"/>
          <w:szCs w:val="21"/>
          <w:highlight w:val="none"/>
        </w:rPr>
      </w:pPr>
      <w:r>
        <w:rPr>
          <w:rFonts w:hint="eastAsia" w:asciiTheme="minorEastAsia" w:hAnsiTheme="minorEastAsia"/>
          <w:szCs w:val="21"/>
          <w:highlight w:val="none"/>
        </w:rPr>
        <w:t>五、企业概况</w:t>
      </w:r>
    </w:p>
    <w:p>
      <w:pPr>
        <w:spacing w:line="360" w:lineRule="auto"/>
        <w:rPr>
          <w:rFonts w:asciiTheme="minorEastAsia" w:hAnsiTheme="minorEastAsia"/>
          <w:szCs w:val="21"/>
          <w:highlight w:val="none"/>
        </w:rPr>
      </w:pPr>
      <w:r>
        <w:rPr>
          <w:rFonts w:hint="eastAsia" w:asciiTheme="minorEastAsia" w:hAnsiTheme="minorEastAsia"/>
          <w:szCs w:val="21"/>
          <w:highlight w:val="none"/>
        </w:rPr>
        <w:t>六、技术性响应文件</w:t>
      </w:r>
    </w:p>
    <w:p>
      <w:pPr>
        <w:spacing w:line="360" w:lineRule="auto"/>
        <w:rPr>
          <w:rFonts w:asciiTheme="minorEastAsia" w:hAnsiTheme="minorEastAsia"/>
          <w:szCs w:val="21"/>
          <w:highlight w:val="none"/>
        </w:rPr>
      </w:pPr>
      <w:r>
        <w:rPr>
          <w:rFonts w:hint="eastAsia" w:asciiTheme="minorEastAsia" w:hAnsiTheme="minorEastAsia"/>
          <w:szCs w:val="21"/>
          <w:highlight w:val="none"/>
        </w:rPr>
        <w:t>七、清单报价</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第三章 合同条件</w:t>
      </w:r>
    </w:p>
    <w:p>
      <w:pPr>
        <w:spacing w:line="360" w:lineRule="auto"/>
        <w:ind w:firstLine="411" w:firstLineChars="196"/>
        <w:rPr>
          <w:rFonts w:asciiTheme="minorEastAsia" w:hAnsiTheme="minorEastAsia"/>
          <w:szCs w:val="21"/>
          <w:highlight w:val="none"/>
        </w:rPr>
      </w:pPr>
    </w:p>
    <w:p>
      <w:pPr>
        <w:spacing w:line="360" w:lineRule="auto"/>
        <w:ind w:firstLine="411" w:firstLineChars="196"/>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ind w:firstLine="411" w:firstLineChars="196"/>
        <w:rPr>
          <w:rFonts w:asciiTheme="minorEastAsia" w:hAnsiTheme="minorEastAsia"/>
          <w:szCs w:val="21"/>
          <w:highlight w:val="none"/>
        </w:rPr>
      </w:pPr>
    </w:p>
    <w:p>
      <w:pPr>
        <w:pStyle w:val="7"/>
        <w:rPr>
          <w:highlight w:val="none"/>
        </w:rPr>
      </w:pPr>
    </w:p>
    <w:p>
      <w:pPr>
        <w:spacing w:line="360" w:lineRule="auto"/>
        <w:ind w:firstLine="411" w:firstLineChars="196"/>
        <w:rPr>
          <w:rFonts w:asciiTheme="minorEastAsia" w:hAnsiTheme="minorEastAsia"/>
          <w:szCs w:val="21"/>
          <w:highlight w:val="none"/>
        </w:rPr>
      </w:pPr>
    </w:p>
    <w:p>
      <w:pPr>
        <w:spacing w:line="360" w:lineRule="auto"/>
        <w:ind w:firstLine="411" w:firstLineChars="196"/>
        <w:rPr>
          <w:rFonts w:asciiTheme="minorEastAsia" w:hAnsiTheme="minorEastAsia"/>
          <w:szCs w:val="21"/>
          <w:highlight w:val="none"/>
        </w:rPr>
      </w:pPr>
    </w:p>
    <w:p>
      <w:pPr>
        <w:pStyle w:val="3"/>
        <w:jc w:val="center"/>
        <w:rPr>
          <w:highlight w:val="none"/>
        </w:rPr>
      </w:pPr>
      <w:bookmarkStart w:id="18" w:name="_Toc8936"/>
      <w:r>
        <w:rPr>
          <w:rFonts w:hint="eastAsia"/>
          <w:highlight w:val="none"/>
        </w:rPr>
        <w:t>第一章  投标须知</w:t>
      </w:r>
      <w:bookmarkEnd w:id="18"/>
    </w:p>
    <w:p>
      <w:pPr>
        <w:pStyle w:val="4"/>
        <w:rPr>
          <w:highlight w:val="none"/>
        </w:rPr>
      </w:pPr>
      <w:bookmarkStart w:id="19" w:name="_Toc29792"/>
      <w:r>
        <w:rPr>
          <w:rFonts w:hint="eastAsia"/>
          <w:highlight w:val="none"/>
        </w:rPr>
        <w:t>一、前附表</w:t>
      </w:r>
      <w:bookmarkEnd w:id="19"/>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72"/>
        <w:gridCol w:w="6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序号</w:t>
            </w:r>
          </w:p>
        </w:tc>
        <w:tc>
          <w:tcPr>
            <w:tcW w:w="2172" w:type="dxa"/>
            <w:tcBorders>
              <w:top w:val="single" w:color="auto" w:sz="12" w:space="0"/>
              <w:left w:val="nil"/>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事项</w:t>
            </w:r>
          </w:p>
        </w:tc>
        <w:tc>
          <w:tcPr>
            <w:tcW w:w="6836" w:type="dxa"/>
            <w:tcBorders>
              <w:top w:val="single" w:color="auto" w:sz="12" w:space="0"/>
              <w:left w:val="nil"/>
              <w:bottom w:val="single" w:color="auto" w:sz="4" w:space="0"/>
              <w:right w:val="single" w:color="auto" w:sz="12"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内容规定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项目名称</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瑞纳智能研发实验室项目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2</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安装地点</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u w:val="single"/>
              </w:rPr>
            </w:pPr>
            <w:r>
              <w:rPr>
                <w:rFonts w:hint="eastAsia" w:asciiTheme="minorEastAsia" w:hAnsiTheme="minorEastAsia"/>
                <w:szCs w:val="21"/>
                <w:highlight w:val="none"/>
              </w:rPr>
              <w:t xml:space="preserve"> 瑞纳智能设备股份有限公司</w:t>
            </w:r>
            <w:r>
              <w:rPr>
                <w:rFonts w:hint="eastAsia" w:asciiTheme="minorEastAsia" w:hAnsiTheme="minorEastAsia"/>
                <w:szCs w:val="21"/>
                <w:highlight w:val="none"/>
                <w:lang w:val="en-US" w:eastAsia="zh-CN"/>
              </w:rPr>
              <w:t>研发检测中心大楼</w:t>
            </w:r>
            <w:r>
              <w:rPr>
                <w:rFonts w:hint="eastAsia" w:asciiTheme="minorEastAsia" w:hAnsiTheme="minorEastAsia"/>
                <w:szCs w:val="21"/>
                <w:highlight w:val="none"/>
              </w:rPr>
              <w:t>1楼。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3</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项目规模</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实验室五个，占地约700平方米。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4</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交付周期</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实验室设计、安装调试周期暂定：</w:t>
            </w:r>
            <w:bookmarkStart w:id="61" w:name="_GoBack"/>
            <w:bookmarkEnd w:id="61"/>
            <w:r>
              <w:rPr>
                <w:rFonts w:hint="eastAsia" w:asciiTheme="minorEastAsia" w:hAnsiTheme="minorEastAsia"/>
                <w:szCs w:val="21"/>
                <w:highlight w:val="none"/>
              </w:rPr>
              <w:t>97个日历天。（具体进场日期以发包人通知为准）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5</w:t>
            </w:r>
          </w:p>
        </w:tc>
        <w:tc>
          <w:tcPr>
            <w:tcW w:w="2172" w:type="dxa"/>
            <w:tcBorders>
              <w:top w:val="single" w:color="auto" w:sz="4" w:space="0"/>
              <w:left w:val="nil"/>
              <w:bottom w:val="single" w:color="auto" w:sz="4" w:space="0"/>
              <w:right w:val="single" w:color="auto" w:sz="4" w:space="0"/>
            </w:tcBorders>
            <w:vAlign w:val="center"/>
          </w:tcPr>
          <w:p>
            <w:pPr>
              <w:spacing w:line="360" w:lineRule="auto"/>
              <w:ind w:left="1470" w:hanging="1470" w:hangingChars="700"/>
              <w:rPr>
                <w:rFonts w:asciiTheme="minorEastAsia" w:hAnsiTheme="minorEastAsia"/>
                <w:szCs w:val="21"/>
                <w:highlight w:val="none"/>
              </w:rPr>
            </w:pPr>
            <w:r>
              <w:rPr>
                <w:rFonts w:hint="eastAsia" w:asciiTheme="minorEastAsia" w:hAnsiTheme="minorEastAsia"/>
                <w:szCs w:val="21"/>
                <w:highlight w:val="none"/>
              </w:rPr>
              <w:t>项目招标范围</w:t>
            </w:r>
          </w:p>
        </w:tc>
        <w:tc>
          <w:tcPr>
            <w:tcW w:w="6836" w:type="dxa"/>
            <w:tcBorders>
              <w:top w:val="single" w:color="auto" w:sz="4" w:space="0"/>
              <w:left w:val="nil"/>
              <w:bottom w:val="single" w:color="auto" w:sz="4" w:space="0"/>
              <w:right w:val="single" w:color="auto" w:sz="12" w:space="0"/>
            </w:tcBorders>
            <w:vAlign w:val="center"/>
          </w:tcPr>
          <w:p>
            <w:pPr>
              <w:pStyle w:val="7"/>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本次招标为瑞纳智能设备股份有限公司350kW空气源热泵性能实验室、5000kW水源热泵试验台实验室、半消实验室、无油活塞压缩机性能实验室、无油离心压缩机性能实验室设计与施工总承包项目。本项目上述实验室工程设计(深化方案设计、初步设计、施工图设计)、施工、设备的采购和供货、安装调试、试运行、(人员培训)等，直至竣工验收合格后交付招标人使用。 </w:t>
            </w:r>
          </w:p>
          <w:p>
            <w:pPr>
              <w:pStyle w:val="7"/>
              <w:numPr>
                <w:ilvl w:val="0"/>
                <w:numId w:val="1"/>
              </w:num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投标时提供深化设计方案及设备选型；</w:t>
            </w:r>
          </w:p>
          <w:p>
            <w:pPr>
              <w:pStyle w:val="7"/>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  350kW空气源热泵性能实验室、5000kW水源热泵试验台实验室、半消实验室、无油活塞压缩机性能实验室、无油离心压缩机性能实验室全部工程的施工；</w:t>
            </w:r>
          </w:p>
          <w:p>
            <w:pPr>
              <w:pStyle w:val="7"/>
              <w:rPr>
                <w:rFonts w:asciiTheme="minorEastAsia" w:hAnsiTheme="minorEastAsia"/>
                <w:szCs w:val="21"/>
                <w:highlight w:val="none"/>
              </w:rPr>
            </w:pPr>
            <w:r>
              <w:rPr>
                <w:rFonts w:hint="eastAsia" w:asciiTheme="minorEastAsia" w:hAnsiTheme="minorEastAsia" w:eastAsiaTheme="minorEastAsia" w:cstheme="minorEastAsia"/>
                <w:sz w:val="21"/>
                <w:szCs w:val="21"/>
                <w:highlight w:val="none"/>
              </w:rPr>
              <w:t>(3) 350kW空气源热泵性能实验室、5000kW水源热泵试验台实验室、半消实验室、无油活塞压缩机性能实验室、无油离心压缩机性能实验室安装与调试、人员技术培训等。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6</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资金来源</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7</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招标方式</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邀请招标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8</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投标保证金数额</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人民币：壹拾万元整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9</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招投标有效期</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投标文件送达后</w:t>
            </w:r>
            <w:r>
              <w:rPr>
                <w:rFonts w:hint="eastAsia" w:asciiTheme="minorEastAsia" w:hAnsiTheme="minorEastAsia"/>
                <w:b/>
                <w:bCs/>
                <w:szCs w:val="21"/>
                <w:highlight w:val="none"/>
                <w:u w:val="single"/>
              </w:rPr>
              <w:t>10</w:t>
            </w:r>
            <w:r>
              <w:rPr>
                <w:rFonts w:hint="eastAsia" w:asciiTheme="minorEastAsia" w:hAnsiTheme="minorEastAsia"/>
                <w:szCs w:val="21"/>
                <w:highlight w:val="none"/>
              </w:rPr>
              <w:t>日内开标及定标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10</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投标文件份数</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正本壹份，副本肆份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11</w:t>
            </w:r>
          </w:p>
        </w:tc>
        <w:tc>
          <w:tcPr>
            <w:tcW w:w="2172"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630" w:hanging="630" w:hangingChars="300"/>
              <w:rPr>
                <w:rFonts w:asciiTheme="minorEastAsia" w:hAnsiTheme="minorEastAsia"/>
                <w:szCs w:val="21"/>
                <w:highlight w:val="none"/>
              </w:rPr>
            </w:pPr>
            <w:r>
              <w:rPr>
                <w:rFonts w:hint="eastAsia" w:asciiTheme="minorEastAsia" w:hAnsiTheme="minorEastAsia"/>
                <w:szCs w:val="21"/>
                <w:highlight w:val="none"/>
              </w:rPr>
              <w:t>领取招标文件时间地点</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pacing w:val="-20"/>
                <w:szCs w:val="21"/>
                <w:highlight w:val="none"/>
              </w:rPr>
            </w:pPr>
            <w:r>
              <w:rPr>
                <w:rFonts w:hint="eastAsia" w:asciiTheme="minorEastAsia" w:hAnsiTheme="minorEastAsia"/>
                <w:szCs w:val="21"/>
                <w:highlight w:val="none"/>
              </w:rPr>
              <w:t>时间：2024年3月</w:t>
            </w:r>
            <w:r>
              <w:rPr>
                <w:rFonts w:hint="eastAsia" w:asciiTheme="minorEastAsia" w:hAnsiTheme="minorEastAsia"/>
                <w:szCs w:val="21"/>
                <w:highlight w:val="none"/>
                <w:lang w:val="en-US" w:eastAsia="zh-CN"/>
              </w:rPr>
              <w:t>11</w:t>
            </w:r>
            <w:r>
              <w:rPr>
                <w:rFonts w:hint="eastAsia" w:asciiTheme="minorEastAsia" w:hAnsiTheme="minorEastAsia"/>
                <w:szCs w:val="21"/>
                <w:highlight w:val="none"/>
              </w:rPr>
              <w:t>日8:30-17：00</w:t>
            </w:r>
          </w:p>
          <w:p>
            <w:pPr>
              <w:spacing w:line="360" w:lineRule="auto"/>
              <w:rPr>
                <w:rFonts w:asciiTheme="minorEastAsia" w:hAnsiTheme="minorEastAsia"/>
                <w:szCs w:val="21"/>
                <w:highlight w:val="none"/>
              </w:rPr>
            </w:pPr>
            <w:r>
              <w:rPr>
                <w:rFonts w:hint="eastAsia" w:asciiTheme="minorEastAsia" w:hAnsiTheme="minorEastAsia"/>
                <w:szCs w:val="21"/>
                <w:highlight w:val="none"/>
              </w:rPr>
              <w:t>地 址：瑞纳智能设备股份有限公司招采专用邮箱发放</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发放人：李侠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12</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招标答疑截止</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时  间：2024年3月1</w:t>
            </w:r>
            <w:r>
              <w:rPr>
                <w:rFonts w:hint="eastAsia" w:asciiTheme="minorEastAsia" w:hAnsiTheme="minorEastAsia"/>
                <w:szCs w:val="21"/>
                <w:highlight w:val="none"/>
                <w:lang w:val="en-US" w:eastAsia="zh-CN"/>
              </w:rPr>
              <w:t>8</w:t>
            </w:r>
            <w:r>
              <w:rPr>
                <w:rFonts w:hint="eastAsia" w:asciiTheme="minorEastAsia" w:hAnsiTheme="minorEastAsia"/>
                <w:szCs w:val="21"/>
                <w:highlight w:val="none"/>
              </w:rPr>
              <w:t>日下午</w:t>
            </w:r>
            <w:r>
              <w:rPr>
                <w:rFonts w:asciiTheme="minorEastAsia" w:hAnsiTheme="minorEastAsia"/>
                <w:szCs w:val="21"/>
                <w:highlight w:val="none"/>
              </w:rPr>
              <w:t>5</w:t>
            </w:r>
            <w:r>
              <w:rPr>
                <w:rFonts w:hint="eastAsia" w:asciiTheme="minorEastAsia" w:hAnsiTheme="minorEastAsia"/>
                <w:szCs w:val="21"/>
                <w:highlight w:val="non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13</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投标文件送达截止时间</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u w:val="single"/>
              </w:rPr>
            </w:pPr>
            <w:r>
              <w:rPr>
                <w:rFonts w:hint="eastAsia" w:asciiTheme="minorEastAsia" w:hAnsiTheme="minorEastAsia"/>
                <w:szCs w:val="21"/>
                <w:highlight w:val="none"/>
              </w:rPr>
              <w:t>时  间：2024年3月</w:t>
            </w:r>
            <w:r>
              <w:rPr>
                <w:rFonts w:hint="eastAsia" w:asciiTheme="minorEastAsia" w:hAnsiTheme="minorEastAsia"/>
                <w:szCs w:val="21"/>
                <w:highlight w:val="none"/>
                <w:lang w:val="en-US" w:eastAsia="zh-CN"/>
              </w:rPr>
              <w:t>21</w:t>
            </w:r>
            <w:r>
              <w:rPr>
                <w:rFonts w:hint="eastAsia" w:asciiTheme="minorEastAsia" w:hAnsiTheme="minorEastAsia"/>
                <w:szCs w:val="21"/>
                <w:highlight w:val="none"/>
              </w:rPr>
              <w:t>日下午5：00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14</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投标文件递交地点</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地址：合肥市瑞纳智能设备股份有限公司办公楼四楼</w:t>
            </w:r>
            <w:r>
              <w:rPr>
                <w:rFonts w:asciiTheme="minorEastAsia" w:hAnsiTheme="minorEastAsia"/>
                <w:szCs w:val="21"/>
                <w:highlight w:val="none"/>
              </w:rPr>
              <w:t>407</w:t>
            </w:r>
            <w:r>
              <w:rPr>
                <w:rFonts w:hint="eastAsia" w:asciiTheme="minorEastAsia" w:hAnsiTheme="minorEastAsia"/>
                <w:szCs w:val="21"/>
                <w:highlight w:val="none"/>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15</w:t>
            </w:r>
          </w:p>
        </w:tc>
        <w:tc>
          <w:tcPr>
            <w:tcW w:w="2172"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联系人</w:t>
            </w:r>
          </w:p>
        </w:tc>
        <w:tc>
          <w:tcPr>
            <w:tcW w:w="6836" w:type="dxa"/>
            <w:tcBorders>
              <w:top w:val="single" w:color="auto" w:sz="4" w:space="0"/>
              <w:left w:val="nil"/>
              <w:bottom w:val="single" w:color="auto" w:sz="4"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李侠   联系电话：</w:t>
            </w:r>
            <w:r>
              <w:rPr>
                <w:rFonts w:asciiTheme="minorEastAsia" w:hAnsiTheme="minorEastAsia"/>
                <w:szCs w:val="21"/>
                <w:highlight w:val="none"/>
              </w:rPr>
              <w:t>17705697641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0"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Theme="minorEastAsia" w:hAnsiTheme="minorEastAsia"/>
                <w:szCs w:val="21"/>
                <w:highlight w:val="none"/>
              </w:rPr>
            </w:pPr>
            <w:bookmarkStart w:id="20" w:name="_Toc24674"/>
            <w:r>
              <w:rPr>
                <w:rFonts w:hint="eastAsia" w:asciiTheme="minorEastAsia" w:hAnsiTheme="minorEastAsia"/>
                <w:szCs w:val="21"/>
                <w:highlight w:val="none"/>
              </w:rPr>
              <w:t>16</w:t>
            </w:r>
          </w:p>
        </w:tc>
        <w:tc>
          <w:tcPr>
            <w:tcW w:w="2172" w:type="dxa"/>
            <w:tcBorders>
              <w:top w:val="single" w:color="auto" w:sz="4" w:space="0"/>
              <w:left w:val="nil"/>
              <w:bottom w:val="single" w:color="auto" w:sz="12" w:space="0"/>
              <w:right w:val="single" w:color="auto" w:sz="4"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知识产权</w:t>
            </w:r>
          </w:p>
        </w:tc>
        <w:tc>
          <w:tcPr>
            <w:tcW w:w="6836" w:type="dxa"/>
            <w:tcBorders>
              <w:top w:val="single" w:color="auto" w:sz="4" w:space="0"/>
              <w:left w:val="nil"/>
              <w:bottom w:val="single" w:color="auto" w:sz="12" w:space="0"/>
              <w:right w:val="single" w:color="auto" w:sz="12" w:space="0"/>
            </w:tcBorders>
            <w:vAlign w:val="center"/>
          </w:tcPr>
          <w:p>
            <w:pPr>
              <w:spacing w:line="360" w:lineRule="auto"/>
              <w:rPr>
                <w:rFonts w:asciiTheme="minorEastAsia" w:hAnsiTheme="minorEastAsia"/>
                <w:szCs w:val="21"/>
                <w:highlight w:val="none"/>
              </w:rPr>
            </w:pPr>
            <w:r>
              <w:rPr>
                <w:rFonts w:hint="eastAsia" w:asciiTheme="minorEastAsia" w:hAnsiTheme="minorEastAsia"/>
                <w:szCs w:val="21"/>
                <w:highlight w:val="none"/>
              </w:rPr>
              <w:t>投标人在其工作范围内应确保其各自独立准备的全部投标文件在中国境内外都没有且也不会侵犯任何第三方的知识产权（包括但不限于著作权、商标权、专利权）或专有技术或商业秘密；投标人如果在其投标文件中使用或包含任何其他人的知识产权或专有技术或商业秘密，应保证已经获得权利人的合法、有效、充分的授权，并适用于本项目。</w:t>
            </w:r>
          </w:p>
          <w:p>
            <w:pPr>
              <w:spacing w:line="360" w:lineRule="auto"/>
              <w:rPr>
                <w:rFonts w:asciiTheme="minorEastAsia" w:hAnsiTheme="minorEastAsia"/>
                <w:szCs w:val="21"/>
                <w:highlight w:val="none"/>
              </w:rPr>
            </w:pPr>
            <w:r>
              <w:rPr>
                <w:rFonts w:hint="eastAsia" w:asciiTheme="minorEastAsia" w:hAnsiTheme="minorEastAsia"/>
                <w:szCs w:val="21"/>
                <w:highlight w:val="none"/>
              </w:rPr>
              <w:t>投标人对上述保证应承担一切责任及费用，并负责保护招标人权益不受损害；一切由于侵犯知识产权或专有技术或商业秘密，或由使用设备工艺结构特征以及元件的排列所引起的申诉、仲裁、诉讼等事宜及相关费用均有投标人独立承担，与招标人无关。</w:t>
            </w:r>
          </w:p>
        </w:tc>
      </w:tr>
    </w:tbl>
    <w:p>
      <w:pPr>
        <w:pStyle w:val="4"/>
        <w:rPr>
          <w:highlight w:val="none"/>
        </w:rPr>
      </w:pPr>
      <w:r>
        <w:rPr>
          <w:rFonts w:hint="eastAsia"/>
          <w:highlight w:val="none"/>
        </w:rPr>
        <w:t>二、总则</w:t>
      </w:r>
      <w:bookmarkEnd w:id="20"/>
    </w:p>
    <w:p>
      <w:pPr>
        <w:spacing w:before="156" w:beforeLines="50" w:after="156" w:afterLines="50" w:line="360" w:lineRule="auto"/>
        <w:rPr>
          <w:rFonts w:asciiTheme="minorEastAsia" w:hAnsiTheme="minorEastAsia"/>
          <w:b/>
          <w:bCs/>
          <w:szCs w:val="21"/>
          <w:highlight w:val="none"/>
        </w:rPr>
      </w:pPr>
      <w:r>
        <w:rPr>
          <w:rFonts w:hint="eastAsia" w:asciiTheme="minorEastAsia" w:hAnsiTheme="minorEastAsia"/>
          <w:b/>
          <w:bCs/>
          <w:szCs w:val="21"/>
          <w:highlight w:val="none"/>
        </w:rPr>
        <w:t>(一)工程概况：</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1、项目名称:</w:t>
      </w:r>
      <w:r>
        <w:rPr>
          <w:rFonts w:hint="eastAsia" w:asciiTheme="minorEastAsia" w:hAnsiTheme="minorEastAsia"/>
          <w:szCs w:val="21"/>
          <w:highlight w:val="none"/>
        </w:rPr>
        <w:t>瑞纳智能热泵性能实验室项目。</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2、项目概况：</w:t>
      </w:r>
      <w:r>
        <w:rPr>
          <w:rFonts w:hint="eastAsia" w:asciiTheme="minorEastAsia" w:hAnsiTheme="minorEastAsia"/>
          <w:szCs w:val="21"/>
          <w:highlight w:val="none"/>
        </w:rPr>
        <w:t>见投标须知</w:t>
      </w:r>
    </w:p>
    <w:p>
      <w:pPr>
        <w:spacing w:line="360"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3、现场条件</w:t>
      </w:r>
      <w:r>
        <w:rPr>
          <w:rFonts w:hint="eastAsia" w:asciiTheme="minorEastAsia" w:hAnsiTheme="minorEastAsia"/>
          <w:szCs w:val="21"/>
          <w:highlight w:val="none"/>
        </w:rPr>
        <w:t>：</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a)场地拆迁及平整情况：</w:t>
      </w:r>
      <w:r>
        <w:rPr>
          <w:rFonts w:hint="eastAsia" w:asciiTheme="minorEastAsia" w:hAnsiTheme="minorEastAsia"/>
          <w:szCs w:val="21"/>
          <w:highlight w:val="none"/>
          <w:u w:val="single"/>
        </w:rPr>
        <w:t>现场勘查；</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b)施工条件：</w:t>
      </w:r>
      <w:r>
        <w:rPr>
          <w:rFonts w:hint="eastAsia" w:asciiTheme="minorEastAsia" w:hAnsiTheme="minorEastAsia"/>
          <w:szCs w:val="21"/>
          <w:highlight w:val="none"/>
          <w:u w:val="single"/>
        </w:rPr>
        <w:t>现场勘查；</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c)有关勘探资料：</w:t>
      </w:r>
      <w:r>
        <w:rPr>
          <w:rFonts w:hint="eastAsia" w:asciiTheme="minorEastAsia" w:hAnsiTheme="minorEastAsia"/>
          <w:szCs w:val="21"/>
          <w:highlight w:val="none"/>
          <w:u w:val="single"/>
        </w:rPr>
        <w:t>已完成；</w:t>
      </w:r>
    </w:p>
    <w:p>
      <w:pPr>
        <w:spacing w:line="360" w:lineRule="auto"/>
        <w:ind w:firstLine="420" w:firstLineChars="200"/>
        <w:rPr>
          <w:rFonts w:asciiTheme="minorEastAsia" w:hAnsiTheme="minorEastAsia"/>
          <w:szCs w:val="21"/>
          <w:highlight w:val="none"/>
          <w:u w:val="single"/>
        </w:rPr>
      </w:pPr>
      <w:r>
        <w:rPr>
          <w:rFonts w:hint="eastAsia" w:asciiTheme="minorEastAsia" w:hAnsiTheme="minorEastAsia"/>
          <w:szCs w:val="21"/>
          <w:highlight w:val="none"/>
        </w:rPr>
        <w:t>d)结构形式：</w:t>
      </w:r>
      <w:r>
        <w:rPr>
          <w:rFonts w:hint="eastAsia" w:asciiTheme="minorEastAsia" w:hAnsiTheme="minorEastAsia"/>
          <w:szCs w:val="21"/>
          <w:highlight w:val="none"/>
          <w:u w:val="single"/>
        </w:rPr>
        <w:t>见图纸；</w:t>
      </w:r>
    </w:p>
    <w:p>
      <w:pPr>
        <w:spacing w:line="360" w:lineRule="auto"/>
        <w:ind w:firstLine="420" w:firstLineChars="200"/>
        <w:rPr>
          <w:rFonts w:asciiTheme="minorEastAsia" w:hAnsiTheme="minorEastAsia"/>
          <w:szCs w:val="21"/>
          <w:highlight w:val="none"/>
          <w:u w:val="single"/>
        </w:rPr>
      </w:pPr>
      <w:r>
        <w:rPr>
          <w:rFonts w:hint="eastAsia" w:asciiTheme="minorEastAsia" w:hAnsiTheme="minorEastAsia"/>
          <w:szCs w:val="21"/>
          <w:highlight w:val="none"/>
        </w:rPr>
        <w:t>e)项目资金来源：</w:t>
      </w:r>
      <w:r>
        <w:rPr>
          <w:rFonts w:hint="eastAsia" w:asciiTheme="minorEastAsia" w:hAnsiTheme="minorEastAsia"/>
          <w:szCs w:val="21"/>
          <w:highlight w:val="none"/>
          <w:u w:val="single"/>
        </w:rPr>
        <w:t>自筹；</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f)项目资金落实情况：</w:t>
      </w:r>
      <w:r>
        <w:rPr>
          <w:rFonts w:hint="eastAsia" w:asciiTheme="minorEastAsia" w:hAnsiTheme="minorEastAsia"/>
          <w:szCs w:val="21"/>
          <w:highlight w:val="none"/>
          <w:u w:val="single"/>
        </w:rPr>
        <w:t>已落实。</w:t>
      </w:r>
    </w:p>
    <w:p>
      <w:pPr>
        <w:spacing w:before="156" w:beforeLines="50" w:after="156" w:afterLines="50" w:line="360" w:lineRule="auto"/>
        <w:rPr>
          <w:rFonts w:asciiTheme="minorEastAsia" w:hAnsiTheme="minorEastAsia"/>
          <w:b/>
          <w:bCs/>
          <w:szCs w:val="21"/>
          <w:highlight w:val="none"/>
        </w:rPr>
      </w:pPr>
      <w:r>
        <w:rPr>
          <w:rFonts w:hint="eastAsia" w:asciiTheme="minorEastAsia" w:hAnsiTheme="minorEastAsia"/>
          <w:b/>
          <w:bCs/>
          <w:szCs w:val="21"/>
          <w:highlight w:val="none"/>
        </w:rPr>
        <w:t>(二)投标人条件</w:t>
      </w:r>
    </w:p>
    <w:p>
      <w:pPr>
        <w:spacing w:line="360" w:lineRule="auto"/>
        <w:ind w:firstLine="422" w:firstLineChars="200"/>
        <w:rPr>
          <w:rFonts w:asciiTheme="minorEastAsia" w:hAnsiTheme="minorEastAsia"/>
          <w:b/>
          <w:bCs/>
          <w:szCs w:val="21"/>
          <w:highlight w:val="none"/>
        </w:rPr>
      </w:pPr>
      <w:r>
        <w:rPr>
          <w:rFonts w:hint="eastAsia" w:asciiTheme="minorEastAsia" w:hAnsiTheme="minorEastAsia"/>
          <w:b/>
          <w:bCs/>
          <w:szCs w:val="21"/>
          <w:highlight w:val="none"/>
        </w:rPr>
        <w:t>1、投标人资质及要求</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资质要求：具备独立法人资格，提供企业营业期内的营业执照副本（加盖企业印章）；未被工商管理部门列入严重违法失信企业名单、未被人民法院列入失信被执行人名单；投标人所投的同类设备在近3年来没有质量事故记录，投标人无违反商业道德的劣迹及其他不良记录；通过ISO9000族质量体系认证（原件或经公证处公证的复印件加盖企业印章, 投标书内附复印件加盖企业印章）优先考虑；</w:t>
      </w:r>
      <w:r>
        <w:rPr>
          <w:rFonts w:ascii="宋体" w:hAnsi="宋体"/>
          <w:color w:val="000000"/>
          <w:kern w:val="0"/>
          <w:szCs w:val="21"/>
          <w:highlight w:val="none"/>
        </w:rPr>
        <w:t>机电工程施工总承包三级及以上</w:t>
      </w:r>
      <w:r>
        <w:rPr>
          <w:rFonts w:hint="eastAsia" w:ascii="宋体" w:hAnsi="宋体"/>
          <w:color w:val="000000"/>
          <w:kern w:val="0"/>
          <w:szCs w:val="21"/>
          <w:highlight w:val="none"/>
        </w:rPr>
        <w:t>；高新技术企业；</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2.项目业绩要求：具有设计、安装与招标项目相同/相近</w:t>
      </w:r>
      <w:r>
        <w:rPr>
          <w:rFonts w:ascii="宋体" w:hAnsi="宋体"/>
          <w:color w:val="000000"/>
          <w:kern w:val="0"/>
          <w:szCs w:val="21"/>
          <w:highlight w:val="none"/>
        </w:rPr>
        <w:t>各类试验系统设计总包项目（单合同金额500万（含）以上的）大于</w:t>
      </w:r>
      <w:r>
        <w:rPr>
          <w:rFonts w:hint="eastAsia" w:ascii="宋体" w:hAnsi="宋体"/>
          <w:color w:val="000000"/>
          <w:kern w:val="0"/>
          <w:szCs w:val="21"/>
          <w:highlight w:val="none"/>
        </w:rPr>
        <w:t>2</w:t>
      </w:r>
      <w:r>
        <w:rPr>
          <w:rFonts w:ascii="宋体" w:hAnsi="宋体"/>
          <w:color w:val="000000"/>
          <w:kern w:val="0"/>
          <w:szCs w:val="21"/>
          <w:highlight w:val="none"/>
        </w:rPr>
        <w:t>项</w:t>
      </w:r>
      <w:r>
        <w:rPr>
          <w:rFonts w:hint="eastAsia" w:ascii="宋体" w:hAnsi="宋体"/>
          <w:color w:val="000000"/>
          <w:kern w:val="0"/>
          <w:szCs w:val="21"/>
          <w:highlight w:val="none"/>
        </w:rPr>
        <w:t>，</w:t>
      </w:r>
      <w:r>
        <w:rPr>
          <w:rFonts w:hint="eastAsia" w:asciiTheme="minorEastAsia" w:hAnsiTheme="minorEastAsia"/>
          <w:szCs w:val="21"/>
          <w:highlight w:val="none"/>
        </w:rPr>
        <w:t>并运行良好的经验，投标人应具备为工业企业同等规模实验室实施的业绩；投标人须提供合同原件、中标通知书等作为证明材料。</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3.专业技术、设备设施、人员组织、业绩经验等方面具有设计、设备供货、安装、调试、质量控制、经营管理的相应的资质和能力；</w:t>
      </w:r>
    </w:p>
    <w:p>
      <w:pPr>
        <w:pStyle w:val="7"/>
        <w:spacing w:line="360" w:lineRule="auto"/>
        <w:rPr>
          <w:highlight w:val="none"/>
        </w:rPr>
      </w:pPr>
      <w:r>
        <w:rPr>
          <w:rFonts w:hint="eastAsia" w:asciiTheme="minorEastAsia" w:hAnsiTheme="minorEastAsia"/>
          <w:szCs w:val="21"/>
          <w:highlight w:val="none"/>
        </w:rPr>
        <w:t xml:space="preserve">  </w:t>
      </w:r>
      <w:r>
        <w:rPr>
          <w:rFonts w:hint="eastAsia" w:asciiTheme="minorEastAsia" w:hAnsiTheme="minorEastAsia" w:eastAsiaTheme="minorEastAsia" w:cstheme="minorBidi"/>
          <w:kern w:val="2"/>
          <w:sz w:val="21"/>
          <w:szCs w:val="21"/>
          <w:highlight w:val="none"/>
        </w:rPr>
        <w:t xml:space="preserve">  4.所投产品是国家要求达到一定标准的应提供达标文件或证书（原件或经公证处公证的复印件加盖企业印章, 投标书内附复印件加盖企业印章）；</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5.投标人必须在安徽省内有完善的售后保障体系，有专业技术维护人员和专用维修设备，具有备件供应能力；</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6.投标单位注册资金不少于500万；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7.投标单位必须具有良好的商业信誉和健全的财务会计制度；出具近三年财务报表；</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8.投标单位在参加此次采购项目之前的3年内，在经营活动中无重大违法记录。</w:t>
      </w:r>
    </w:p>
    <w:p>
      <w:pPr>
        <w:spacing w:before="156" w:beforeLines="50" w:after="156" w:afterLines="50" w:line="360" w:lineRule="auto"/>
        <w:rPr>
          <w:rFonts w:asciiTheme="minorEastAsia" w:hAnsiTheme="minorEastAsia"/>
          <w:b/>
          <w:bCs/>
          <w:szCs w:val="21"/>
          <w:highlight w:val="none"/>
        </w:rPr>
      </w:pPr>
      <w:r>
        <w:rPr>
          <w:rFonts w:hint="eastAsia" w:asciiTheme="minorEastAsia" w:hAnsiTheme="minorEastAsia"/>
          <w:b/>
          <w:bCs/>
          <w:szCs w:val="21"/>
          <w:highlight w:val="none"/>
        </w:rPr>
        <w:t>(三)投标费用</w:t>
      </w:r>
    </w:p>
    <w:p>
      <w:pPr>
        <w:spacing w:line="360" w:lineRule="auto"/>
        <w:jc w:val="left"/>
        <w:rPr>
          <w:rFonts w:asciiTheme="minorEastAsia" w:hAnsiTheme="minorEastAsia"/>
          <w:szCs w:val="21"/>
          <w:highlight w:val="none"/>
        </w:rPr>
      </w:pPr>
      <w:r>
        <w:rPr>
          <w:rFonts w:hint="eastAsia" w:asciiTheme="minorEastAsia" w:hAnsiTheme="minorEastAsia"/>
          <w:szCs w:val="21"/>
          <w:highlight w:val="none"/>
        </w:rPr>
        <w:t xml:space="preserve">    投标人应承担其编制投标文件以及递交投标文件所涉及的一切费用，无论投标结果如何，招标人对上述费用不负任何责任。</w:t>
      </w:r>
    </w:p>
    <w:p>
      <w:pPr>
        <w:spacing w:before="156" w:beforeLines="50" w:after="156" w:afterLines="50" w:line="360" w:lineRule="auto"/>
        <w:rPr>
          <w:rFonts w:asciiTheme="minorEastAsia" w:hAnsiTheme="minorEastAsia"/>
          <w:b/>
          <w:bCs/>
          <w:szCs w:val="21"/>
          <w:highlight w:val="none"/>
        </w:rPr>
      </w:pPr>
      <w:r>
        <w:rPr>
          <w:rFonts w:hint="eastAsia" w:asciiTheme="minorEastAsia" w:hAnsiTheme="minorEastAsia"/>
          <w:b/>
          <w:bCs/>
          <w:szCs w:val="21"/>
          <w:highlight w:val="none"/>
        </w:rPr>
        <w:t>(四)现场考察</w:t>
      </w:r>
    </w:p>
    <w:p>
      <w:pPr>
        <w:spacing w:line="360" w:lineRule="auto"/>
        <w:jc w:val="left"/>
        <w:rPr>
          <w:rFonts w:asciiTheme="minorEastAsia" w:hAnsiTheme="minorEastAsia"/>
          <w:szCs w:val="21"/>
          <w:highlight w:val="none"/>
        </w:rPr>
      </w:pPr>
      <w:r>
        <w:rPr>
          <w:rFonts w:hint="eastAsia" w:asciiTheme="minorEastAsia" w:hAnsiTheme="minorEastAsia"/>
          <w:szCs w:val="21"/>
          <w:highlight w:val="none"/>
        </w:rPr>
        <w:t xml:space="preserve">    1.投标人可对工程现场和周围环境进行考察，以获取需投标人负责的有关投标准备和签署合同所需的材料，考察现场的费用由投标人自负。招标人对投标人进行的现场考察给予必要的协助和配合。</w:t>
      </w:r>
    </w:p>
    <w:p>
      <w:pPr>
        <w:spacing w:line="360" w:lineRule="auto"/>
        <w:jc w:val="left"/>
        <w:rPr>
          <w:rFonts w:asciiTheme="minorEastAsia" w:hAnsiTheme="minorEastAsia"/>
          <w:b/>
          <w:bCs/>
          <w:szCs w:val="21"/>
          <w:highlight w:val="none"/>
          <w:u w:val="single"/>
        </w:rPr>
      </w:pPr>
      <w:r>
        <w:rPr>
          <w:rFonts w:hint="eastAsia" w:asciiTheme="minorEastAsia" w:hAnsiTheme="minorEastAsia"/>
          <w:szCs w:val="21"/>
          <w:highlight w:val="none"/>
        </w:rPr>
        <w:t xml:space="preserve">    2.现场考察、配合联系人：</w:t>
      </w:r>
      <w:r>
        <w:rPr>
          <w:rFonts w:hint="eastAsia" w:asciiTheme="minorEastAsia" w:hAnsiTheme="minorEastAsia"/>
          <w:szCs w:val="21"/>
          <w:highlight w:val="none"/>
          <w:u w:val="single"/>
        </w:rPr>
        <w:t xml:space="preserve">陈海燕  </w:t>
      </w:r>
      <w:r>
        <w:rPr>
          <w:rFonts w:hint="eastAsia" w:asciiTheme="minorEastAsia" w:hAnsiTheme="minorEastAsia"/>
          <w:szCs w:val="21"/>
          <w:highlight w:val="none"/>
        </w:rPr>
        <w:t xml:space="preserve"> 联系电话：</w:t>
      </w:r>
      <w:r>
        <w:rPr>
          <w:rFonts w:hint="eastAsia" w:asciiTheme="minorEastAsia" w:hAnsiTheme="minorEastAsia"/>
          <w:szCs w:val="21"/>
          <w:highlight w:val="none"/>
          <w:u w:val="single"/>
        </w:rPr>
        <w:t xml:space="preserve">  13339294422.</w:t>
      </w:r>
    </w:p>
    <w:p>
      <w:pPr>
        <w:pStyle w:val="4"/>
        <w:rPr>
          <w:highlight w:val="none"/>
        </w:rPr>
      </w:pPr>
      <w:bookmarkStart w:id="21" w:name="_Toc3658"/>
      <w:r>
        <w:rPr>
          <w:rFonts w:hint="eastAsia"/>
          <w:highlight w:val="none"/>
        </w:rPr>
        <w:t>三、招标文件内容、澄清及修改</w:t>
      </w:r>
      <w:bookmarkEnd w:id="21"/>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(一)招标文件的组成</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1.招标文件包括本文件及所有按本招标文件发出的修改澄清通知。</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2.投标人应认真审阅招标文件所有内容，如果投标人的投标文件不能实质性地响应招标文件要求，将按照废标处理。</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(二)招标文件的澄清</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要求澄清招标文件的投标人，应在答疑日期之前以书面或传真的方式向招标人提出要求澄清的问题。招标人在以书面形式或电子文件形式予以解答，此答复(包括对询问的解释，但不说明询问来源)将以书面或电子文件形式发送所有投标人，由此而产生的对招标文件内容的修改，将以修改通知的方式发出。</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人对招标人提供的招标文件所做的推证、解释和结论，招标人概不负责，投标人由于对招标文件的任何推证和误解以及招标人对有关问题的口头解释所造成的后果，均由投标人自负。投标人应认真检查招标文件的是否齐全，如有遗漏，请于领取招标文件后2日内向招标人索取，否则责任自负。</w:t>
      </w:r>
    </w:p>
    <w:p>
      <w:pPr>
        <w:spacing w:line="360" w:lineRule="auto"/>
        <w:ind w:left="735" w:leftChars="200" w:hanging="315" w:hangingChars="150"/>
        <w:rPr>
          <w:rFonts w:asciiTheme="minorEastAsia" w:hAnsiTheme="minorEastAsia"/>
          <w:b/>
          <w:bCs/>
          <w:szCs w:val="21"/>
          <w:highlight w:val="none"/>
          <w:u w:val="single"/>
        </w:rPr>
      </w:pPr>
      <w:r>
        <w:rPr>
          <w:rFonts w:hint="eastAsia" w:asciiTheme="minorEastAsia" w:hAnsiTheme="minorEastAsia"/>
          <w:szCs w:val="21"/>
          <w:highlight w:val="none"/>
        </w:rPr>
        <w:t>3、质疑、索取文件联系人：</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 xml:space="preserve"> </w:t>
      </w:r>
      <w:r>
        <w:rPr>
          <w:rFonts w:hint="eastAsia" w:asciiTheme="minorEastAsia" w:hAnsiTheme="minorEastAsia"/>
          <w:szCs w:val="21"/>
          <w:highlight w:val="none"/>
          <w:u w:val="single"/>
        </w:rPr>
        <w:t xml:space="preserve">李侠  </w:t>
      </w:r>
      <w:r>
        <w:rPr>
          <w:rFonts w:hint="eastAsia" w:asciiTheme="minorEastAsia" w:hAnsiTheme="minorEastAsia"/>
          <w:szCs w:val="21"/>
          <w:highlight w:val="none"/>
        </w:rPr>
        <w:t>联系电话：</w:t>
      </w:r>
      <w:r>
        <w:rPr>
          <w:rFonts w:asciiTheme="minorEastAsia" w:hAnsiTheme="minorEastAsia"/>
          <w:szCs w:val="21"/>
          <w:highlight w:val="none"/>
          <w:u w:val="single"/>
        </w:rPr>
        <w:t>17705697641</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(三)招标文件的修改</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1、在投标截止日期 1 天前，招标人都可能会以书面通知的方式修改招标文件，修改通知作为招标文件的组成部分，对投标人起同等约束作用。</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2、投标人在收到招标文件修改通知后应立即以电话或传真告知招标人予以确认。</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3、为使投标人有合理的时间将修改通知内容考虑进去，招标人可以酌情延长递交投标文件的截止日期，具体时间将在修改通知中写明。当投标文件、修改通知内容相互矛盾时，以最后发出的通知为准。</w:t>
      </w:r>
    </w:p>
    <w:p>
      <w:pPr>
        <w:pStyle w:val="4"/>
        <w:rPr>
          <w:highlight w:val="none"/>
        </w:rPr>
      </w:pPr>
      <w:bookmarkStart w:id="22" w:name="_Toc13624"/>
      <w:r>
        <w:rPr>
          <w:rFonts w:hint="eastAsia"/>
          <w:highlight w:val="none"/>
        </w:rPr>
        <w:t>四、投标报价</w:t>
      </w:r>
      <w:bookmarkEnd w:id="22"/>
    </w:p>
    <w:p>
      <w:pPr>
        <w:spacing w:before="240" w:line="360" w:lineRule="auto"/>
        <w:ind w:firstLine="480"/>
        <w:rPr>
          <w:rFonts w:asciiTheme="minorEastAsia" w:hAnsiTheme="minorEastAsia"/>
          <w:szCs w:val="21"/>
          <w:highlight w:val="none"/>
        </w:rPr>
      </w:pPr>
      <w:r>
        <w:rPr>
          <w:rFonts w:hint="eastAsia" w:asciiTheme="minorEastAsia" w:hAnsiTheme="minorEastAsia"/>
          <w:szCs w:val="21"/>
          <w:highlight w:val="none"/>
        </w:rPr>
        <w:t xml:space="preserve">1、投标报价计价方式采用含税固定综合总价报价并实行含税固定综合总价包干 ，报价时采用综合总价=费用+税价的报价方式报价。 </w:t>
      </w:r>
    </w:p>
    <w:p>
      <w:pPr>
        <w:pStyle w:val="7"/>
        <w:spacing w:line="360" w:lineRule="auto"/>
        <w:ind w:firstLine="420" w:firstLineChars="200"/>
        <w:rPr>
          <w:sz w:val="21"/>
          <w:szCs w:val="21"/>
          <w:highlight w:val="none"/>
        </w:rPr>
      </w:pPr>
      <w:r>
        <w:rPr>
          <w:rFonts w:hint="eastAsia"/>
          <w:sz w:val="21"/>
          <w:szCs w:val="21"/>
          <w:highlight w:val="none"/>
        </w:rPr>
        <w:t>本项目采用设计、施工一体化的招标模式：</w:t>
      </w:r>
    </w:p>
    <w:p>
      <w:pPr>
        <w:pStyle w:val="7"/>
        <w:spacing w:line="360" w:lineRule="auto"/>
        <w:ind w:firstLine="420" w:firstLineChars="200"/>
        <w:rPr>
          <w:sz w:val="21"/>
          <w:szCs w:val="21"/>
          <w:highlight w:val="none"/>
        </w:rPr>
      </w:pPr>
      <w:r>
        <w:rPr>
          <w:rFonts w:hint="eastAsia"/>
          <w:sz w:val="21"/>
          <w:szCs w:val="21"/>
          <w:highlight w:val="none"/>
        </w:rPr>
        <w:t>项目总报价：应包含施工、设备采购与安装、调试和试运行等发生的全部费用，具体包括土建费用、设备费、安装费、材料损耗费、包装费、运输费、保险费、装卸费、培训费、保管费、技术服务费及按行业标准要求的试验、检验、检测、调试、试运行费等所有相关的一切费用。投标人在报价中应充分考虑设备价格变动等商业风险。对于进口设备，投标报价中应包括设备到岸价、关税、增值税（如能办理免税可说明）等一切相关费用。</w:t>
      </w:r>
    </w:p>
    <w:p>
      <w:pPr>
        <w:pStyle w:val="7"/>
        <w:rPr>
          <w:highlight w:val="none"/>
        </w:rPr>
      </w:pP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2、投标费用应包括完成招标文件所确定的招标内容所需的全部费用。</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3.付款方式：</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w:t>
      </w:r>
      <w:r>
        <w:rPr>
          <w:rFonts w:asciiTheme="minorEastAsia" w:hAnsiTheme="minorEastAsia"/>
          <w:szCs w:val="21"/>
          <w:highlight w:val="none"/>
        </w:rPr>
        <w:t>1</w:t>
      </w:r>
      <w:r>
        <w:rPr>
          <w:rFonts w:hint="eastAsia" w:asciiTheme="minorEastAsia" w:hAnsiTheme="minorEastAsia"/>
          <w:szCs w:val="21"/>
          <w:highlight w:val="none"/>
        </w:rPr>
        <w:t>预付款</w:t>
      </w:r>
    </w:p>
    <w:p>
      <w:pPr>
        <w:pStyle w:val="7"/>
        <w:ind w:firstLine="400"/>
        <w:rPr>
          <w:rFonts w:ascii="宋体" w:hAnsi="宋体" w:cs="宋体"/>
          <w:sz w:val="21"/>
          <w:szCs w:val="21"/>
          <w:highlight w:val="none"/>
        </w:rPr>
      </w:pPr>
      <w:r>
        <w:rPr>
          <w:rFonts w:hint="eastAsia" w:ascii="宋体" w:hAnsi="宋体" w:cs="宋体"/>
          <w:sz w:val="21"/>
          <w:szCs w:val="21"/>
          <w:highlight w:val="none"/>
        </w:rPr>
        <w:t>本项目预付款30%，签订合同后7天内，打款至投标人指定账户。</w:t>
      </w:r>
    </w:p>
    <w:p>
      <w:pPr>
        <w:pStyle w:val="7"/>
        <w:ind w:firstLine="400"/>
        <w:rPr>
          <w:rFonts w:ascii="宋体" w:hAnsi="宋体" w:cs="宋体"/>
          <w:sz w:val="21"/>
          <w:szCs w:val="21"/>
          <w:highlight w:val="none"/>
        </w:rPr>
      </w:pPr>
      <w:r>
        <w:rPr>
          <w:rFonts w:hint="eastAsia" w:ascii="宋体" w:hAnsi="宋体" w:cs="宋体"/>
          <w:sz w:val="21"/>
          <w:szCs w:val="21"/>
          <w:highlight w:val="none"/>
        </w:rPr>
        <w:t>3.2 进度款</w:t>
      </w:r>
    </w:p>
    <w:p>
      <w:pPr>
        <w:pStyle w:val="7"/>
        <w:ind w:firstLine="410"/>
        <w:rPr>
          <w:rFonts w:asciiTheme="minorEastAsia" w:hAnsiTheme="minorEastAsia" w:eastAsiaTheme="minorEastAsia" w:cstheme="minorBidi"/>
          <w:kern w:val="2"/>
          <w:sz w:val="21"/>
          <w:szCs w:val="21"/>
          <w:highlight w:val="none"/>
        </w:rPr>
      </w:pPr>
      <w:r>
        <w:rPr>
          <w:rFonts w:hint="eastAsia" w:asciiTheme="minorEastAsia" w:hAnsiTheme="minorEastAsia" w:eastAsiaTheme="minorEastAsia" w:cstheme="minorBidi"/>
          <w:kern w:val="2"/>
          <w:sz w:val="21"/>
          <w:szCs w:val="21"/>
          <w:highlight w:val="none"/>
        </w:rPr>
        <w:t>每月月初将上月已完工程量结算资料分别报监理、招标人组织审核，月结算报告经双方确认5日内，招标人根据上月经确认的工程价款支付上月75％的工程进度款。</w:t>
      </w:r>
    </w:p>
    <w:p>
      <w:pPr>
        <w:pStyle w:val="7"/>
        <w:ind w:firstLine="410"/>
        <w:rPr>
          <w:rFonts w:asciiTheme="minorEastAsia" w:hAnsiTheme="minorEastAsia" w:eastAsiaTheme="minorEastAsia" w:cstheme="minorBidi"/>
          <w:kern w:val="2"/>
          <w:sz w:val="21"/>
          <w:szCs w:val="21"/>
          <w:highlight w:val="none"/>
        </w:rPr>
      </w:pPr>
      <w:r>
        <w:rPr>
          <w:rFonts w:hint="eastAsia" w:asciiTheme="minorEastAsia" w:hAnsiTheme="minorEastAsia" w:eastAsiaTheme="minorEastAsia" w:cstheme="minorBidi"/>
          <w:kern w:val="2"/>
          <w:sz w:val="21"/>
          <w:szCs w:val="21"/>
          <w:highlight w:val="none"/>
        </w:rPr>
        <w:t>3.3 初验收款</w:t>
      </w:r>
    </w:p>
    <w:p>
      <w:pPr>
        <w:pStyle w:val="7"/>
        <w:spacing w:line="360" w:lineRule="auto"/>
        <w:ind w:firstLine="408"/>
        <w:rPr>
          <w:rFonts w:asciiTheme="minorEastAsia" w:hAnsiTheme="minorEastAsia" w:eastAsiaTheme="minorEastAsia" w:cstheme="minorBidi"/>
          <w:kern w:val="2"/>
          <w:sz w:val="21"/>
          <w:szCs w:val="21"/>
          <w:highlight w:val="none"/>
        </w:rPr>
      </w:pPr>
      <w:r>
        <w:rPr>
          <w:rFonts w:hint="eastAsia" w:asciiTheme="minorEastAsia" w:hAnsiTheme="minorEastAsia" w:eastAsiaTheme="minorEastAsia" w:cstheme="minorBidi"/>
          <w:kern w:val="2"/>
          <w:sz w:val="21"/>
          <w:szCs w:val="21"/>
          <w:highlight w:val="none"/>
        </w:rPr>
        <w:t>待工程竣工验收合格经审计决算完毕后一周内付至该工程决算价的95％。</w:t>
      </w:r>
    </w:p>
    <w:p>
      <w:pPr>
        <w:pStyle w:val="7"/>
        <w:ind w:firstLine="410"/>
        <w:rPr>
          <w:rFonts w:ascii="宋体" w:hAnsi="宋体" w:cs="宋体"/>
          <w:sz w:val="21"/>
          <w:szCs w:val="21"/>
          <w:highlight w:val="none"/>
        </w:rPr>
      </w:pPr>
      <w:r>
        <w:rPr>
          <w:rFonts w:hint="eastAsia" w:asciiTheme="minorEastAsia" w:hAnsiTheme="minorEastAsia" w:eastAsiaTheme="minorEastAsia" w:cstheme="minorBidi"/>
          <w:kern w:val="2"/>
          <w:sz w:val="21"/>
          <w:szCs w:val="21"/>
          <w:highlight w:val="none"/>
        </w:rPr>
        <w:t xml:space="preserve"> </w:t>
      </w:r>
      <w:r>
        <w:rPr>
          <w:rFonts w:asciiTheme="minorEastAsia" w:hAnsiTheme="minorEastAsia" w:eastAsiaTheme="minorEastAsia" w:cstheme="minorBidi"/>
          <w:kern w:val="2"/>
          <w:sz w:val="21"/>
          <w:szCs w:val="21"/>
          <w:highlight w:val="none"/>
        </w:rPr>
        <w:t>设备试运行24小时无故障和破坏</w:t>
      </w:r>
      <w:r>
        <w:rPr>
          <w:rFonts w:hint="eastAsia" w:asciiTheme="minorEastAsia" w:hAnsiTheme="minorEastAsia" w:eastAsiaTheme="minorEastAsia" w:cstheme="minorBidi"/>
          <w:kern w:val="2"/>
          <w:sz w:val="21"/>
          <w:szCs w:val="21"/>
          <w:highlight w:val="none"/>
        </w:rPr>
        <w:t>，</w:t>
      </w:r>
      <w:r>
        <w:rPr>
          <w:rFonts w:asciiTheme="minorEastAsia" w:hAnsiTheme="minorEastAsia" w:eastAsiaTheme="minorEastAsia" w:cstheme="minorBidi"/>
          <w:kern w:val="2"/>
          <w:sz w:val="21"/>
          <w:szCs w:val="21"/>
          <w:highlight w:val="none"/>
        </w:rPr>
        <w:t>满足各标准要求。</w:t>
      </w:r>
    </w:p>
    <w:p>
      <w:pPr>
        <w:pStyle w:val="7"/>
        <w:spacing w:line="360" w:lineRule="auto"/>
        <w:ind w:firstLine="405"/>
        <w:rPr>
          <w:rFonts w:ascii="宋体" w:hAnsi="宋体" w:cs="宋体"/>
          <w:sz w:val="21"/>
          <w:szCs w:val="21"/>
          <w:highlight w:val="none"/>
        </w:rPr>
      </w:pPr>
      <w:r>
        <w:rPr>
          <w:rFonts w:hint="eastAsia" w:ascii="宋体" w:hAnsi="宋体" w:cs="宋体"/>
          <w:sz w:val="21"/>
          <w:szCs w:val="21"/>
          <w:highlight w:val="none"/>
        </w:rPr>
        <w:t>3.4质保金</w:t>
      </w:r>
    </w:p>
    <w:p>
      <w:pPr>
        <w:pStyle w:val="7"/>
        <w:spacing w:line="360" w:lineRule="auto"/>
        <w:ind w:firstLine="405"/>
        <w:rPr>
          <w:rFonts w:ascii="宋体" w:hAnsi="宋体" w:cs="宋体"/>
          <w:sz w:val="21"/>
          <w:szCs w:val="21"/>
          <w:highlight w:val="none"/>
        </w:rPr>
      </w:pPr>
      <w:r>
        <w:rPr>
          <w:rFonts w:hint="eastAsia" w:ascii="宋体" w:hAnsi="宋体" w:cs="宋体"/>
          <w:sz w:val="21"/>
          <w:szCs w:val="21"/>
          <w:highlight w:val="none"/>
        </w:rPr>
        <w:t>投标人保留5%价款为本次项目的质保金，待质量保修期结束，经招标人终验收合格后，一周内支付。</w:t>
      </w:r>
    </w:p>
    <w:p>
      <w:pPr>
        <w:spacing w:before="240" w:line="360" w:lineRule="auto"/>
        <w:ind w:firstLine="480"/>
        <w:rPr>
          <w:rFonts w:asciiTheme="minorEastAsia" w:hAnsiTheme="minorEastAsia"/>
          <w:szCs w:val="21"/>
          <w:highlight w:val="none"/>
        </w:rPr>
      </w:pPr>
      <w:r>
        <w:rPr>
          <w:rFonts w:hint="eastAsia" w:asciiTheme="minorEastAsia" w:hAnsiTheme="minorEastAsia"/>
          <w:szCs w:val="21"/>
          <w:highlight w:val="none"/>
        </w:rPr>
        <w:t xml:space="preserve"> 备注:乙方申请结算款时，提供3%质保金发票。</w:t>
      </w:r>
    </w:p>
    <w:p>
      <w:pPr>
        <w:adjustRightIn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4.每次付款前，乙方应提供等额的正式合法有效的增值税专用税票，税票应符合当地税务部门及建设单位的要求。否则甲方有权拒绝支付款项且不承担违约责任。</w:t>
      </w:r>
    </w:p>
    <w:p>
      <w:pPr>
        <w:pStyle w:val="4"/>
        <w:rPr>
          <w:highlight w:val="none"/>
        </w:rPr>
      </w:pPr>
      <w:bookmarkStart w:id="23" w:name="_Toc23347"/>
      <w:r>
        <w:rPr>
          <w:rFonts w:hint="eastAsia"/>
          <w:highlight w:val="none"/>
        </w:rPr>
        <w:t>五、投标文件</w:t>
      </w:r>
      <w:bookmarkEnd w:id="23"/>
    </w:p>
    <w:p>
      <w:pPr>
        <w:spacing w:line="360" w:lineRule="auto"/>
        <w:ind w:left="464" w:leftChars="171" w:hanging="105" w:hangingChars="50"/>
        <w:rPr>
          <w:rFonts w:asciiTheme="minorEastAsia" w:hAnsiTheme="minorEastAsia"/>
          <w:szCs w:val="21"/>
          <w:highlight w:val="none"/>
        </w:rPr>
      </w:pPr>
      <w:r>
        <w:rPr>
          <w:rFonts w:hint="eastAsia" w:asciiTheme="minorEastAsia" w:hAnsiTheme="minorEastAsia"/>
          <w:szCs w:val="21"/>
          <w:highlight w:val="none"/>
        </w:rPr>
        <w:t>（一）投标文件应包括下列各项内容：</w:t>
      </w:r>
    </w:p>
    <w:p>
      <w:pPr>
        <w:pStyle w:val="7"/>
        <w:rPr>
          <w:highlight w:val="none"/>
        </w:rPr>
      </w:pPr>
      <w:r>
        <w:rPr>
          <w:rFonts w:hint="eastAsia" w:asciiTheme="minorEastAsia" w:hAnsiTheme="minorEastAsia"/>
          <w:szCs w:val="21"/>
          <w:highlight w:val="none"/>
        </w:rPr>
        <w:t xml:space="preserve"> </w:t>
      </w:r>
      <w:r>
        <w:rPr>
          <w:rFonts w:hint="eastAsia" w:asciiTheme="minorEastAsia" w:hAnsiTheme="minorEastAsia" w:eastAsiaTheme="minorEastAsia" w:cstheme="minorBidi"/>
          <w:kern w:val="2"/>
          <w:sz w:val="21"/>
          <w:szCs w:val="21"/>
          <w:highlight w:val="none"/>
        </w:rPr>
        <w:t xml:space="preserve"> </w:t>
      </w:r>
      <w:r>
        <w:rPr>
          <w:rFonts w:hint="eastAsia" w:asciiTheme="minorEastAsia" w:hAnsiTheme="minorEastAsia" w:eastAsiaTheme="minorEastAsia" w:cstheme="minorBidi"/>
          <w:b/>
          <w:bCs/>
          <w:kern w:val="2"/>
          <w:sz w:val="21"/>
          <w:szCs w:val="21"/>
          <w:highlight w:val="none"/>
        </w:rPr>
        <w:t>技术标部分</w:t>
      </w:r>
    </w:p>
    <w:p>
      <w:pPr>
        <w:spacing w:line="360" w:lineRule="auto"/>
        <w:ind w:left="630" w:leftChars="200" w:hanging="210" w:hangingChars="100"/>
        <w:jc w:val="left"/>
        <w:rPr>
          <w:rFonts w:asciiTheme="minorEastAsia" w:hAnsiTheme="minorEastAsia"/>
          <w:szCs w:val="21"/>
          <w:highlight w:val="none"/>
        </w:rPr>
      </w:pPr>
      <w:r>
        <w:rPr>
          <w:rFonts w:hint="eastAsia" w:asciiTheme="minorEastAsia" w:hAnsiTheme="minorEastAsia"/>
          <w:szCs w:val="21"/>
          <w:highlight w:val="none"/>
        </w:rPr>
        <w:t>1.法定代表人资格证明书(详见格式)</w:t>
      </w:r>
    </w:p>
    <w:p>
      <w:pPr>
        <w:spacing w:line="360" w:lineRule="auto"/>
        <w:ind w:left="630" w:leftChars="200" w:hanging="210" w:hangingChars="100"/>
        <w:jc w:val="left"/>
        <w:rPr>
          <w:rFonts w:asciiTheme="minorEastAsia" w:hAnsiTheme="minorEastAsia"/>
          <w:szCs w:val="21"/>
          <w:highlight w:val="none"/>
        </w:rPr>
      </w:pPr>
      <w:r>
        <w:rPr>
          <w:rFonts w:hint="eastAsia" w:asciiTheme="minorEastAsia" w:hAnsiTheme="minorEastAsia"/>
          <w:szCs w:val="21"/>
          <w:highlight w:val="none"/>
        </w:rPr>
        <w:t>2.授权委托书(详见格式)</w:t>
      </w:r>
    </w:p>
    <w:p>
      <w:pPr>
        <w:spacing w:line="360" w:lineRule="auto"/>
        <w:ind w:left="630" w:leftChars="200" w:hanging="210" w:hangingChars="100"/>
        <w:jc w:val="left"/>
        <w:rPr>
          <w:rFonts w:asciiTheme="minorEastAsia" w:hAnsiTheme="minorEastAsia"/>
          <w:szCs w:val="21"/>
          <w:highlight w:val="none"/>
        </w:rPr>
      </w:pPr>
      <w:r>
        <w:rPr>
          <w:rFonts w:hint="eastAsia" w:asciiTheme="minorEastAsia" w:hAnsiTheme="minorEastAsia"/>
          <w:szCs w:val="21"/>
          <w:highlight w:val="none"/>
        </w:rPr>
        <w:t>3.投标书(详见格式)</w:t>
      </w:r>
    </w:p>
    <w:p>
      <w:pPr>
        <w:spacing w:line="360" w:lineRule="auto"/>
        <w:ind w:left="630" w:leftChars="200" w:hanging="210" w:hangingChars="100"/>
        <w:jc w:val="left"/>
        <w:rPr>
          <w:rFonts w:asciiTheme="minorEastAsia" w:hAnsiTheme="minorEastAsia"/>
          <w:szCs w:val="21"/>
          <w:highlight w:val="none"/>
        </w:rPr>
      </w:pPr>
      <w:r>
        <w:rPr>
          <w:rFonts w:hint="eastAsia" w:asciiTheme="minorEastAsia" w:hAnsiTheme="minorEastAsia"/>
          <w:szCs w:val="21"/>
          <w:highlight w:val="none"/>
        </w:rPr>
        <w:t>4.投标综合说明</w:t>
      </w:r>
    </w:p>
    <w:p>
      <w:pPr>
        <w:spacing w:before="156" w:beforeLines="50" w:line="360" w:lineRule="auto"/>
        <w:ind w:firstLine="518" w:firstLineChars="247"/>
        <w:rPr>
          <w:rFonts w:asciiTheme="minorEastAsia" w:hAnsiTheme="minorEastAsia"/>
          <w:szCs w:val="21"/>
          <w:highlight w:val="none"/>
        </w:rPr>
      </w:pPr>
      <w:r>
        <w:rPr>
          <w:rFonts w:hint="eastAsia" w:asciiTheme="minorEastAsia" w:hAnsiTheme="minorEastAsia"/>
          <w:szCs w:val="21"/>
          <w:highlight w:val="none"/>
        </w:rPr>
        <w:t>4.1企业概况（含营业执照等相关证件复印件）</w:t>
      </w:r>
    </w:p>
    <w:p>
      <w:pPr>
        <w:spacing w:before="156" w:beforeLines="50" w:line="360" w:lineRule="auto"/>
        <w:ind w:firstLine="518" w:firstLineChars="247"/>
        <w:rPr>
          <w:rFonts w:asciiTheme="minorEastAsia" w:hAnsiTheme="minorEastAsia"/>
          <w:szCs w:val="21"/>
          <w:highlight w:val="none"/>
        </w:rPr>
      </w:pPr>
      <w:r>
        <w:rPr>
          <w:rFonts w:hint="eastAsia" w:asciiTheme="minorEastAsia" w:hAnsiTheme="minorEastAsia"/>
          <w:szCs w:val="21"/>
          <w:highlight w:val="none"/>
        </w:rPr>
        <w:t>4.2企业已完成类似项目合同一览表</w:t>
      </w:r>
    </w:p>
    <w:p>
      <w:pPr>
        <w:spacing w:before="156" w:beforeLines="50" w:line="360" w:lineRule="auto"/>
        <w:ind w:firstLine="518" w:firstLineChars="247"/>
        <w:rPr>
          <w:rFonts w:asciiTheme="minorEastAsia" w:hAnsiTheme="minorEastAsia"/>
          <w:szCs w:val="21"/>
          <w:highlight w:val="none"/>
        </w:rPr>
      </w:pPr>
      <w:r>
        <w:rPr>
          <w:rFonts w:hint="eastAsia" w:asciiTheme="minorEastAsia" w:hAnsiTheme="minorEastAsia"/>
          <w:szCs w:val="21"/>
          <w:highlight w:val="none"/>
        </w:rPr>
        <w:t>4.3企业目前正在实施的类似项目合同一览表</w:t>
      </w:r>
    </w:p>
    <w:p>
      <w:pPr>
        <w:numPr>
          <w:ilvl w:val="0"/>
          <w:numId w:val="2"/>
        </w:numPr>
        <w:spacing w:line="360" w:lineRule="auto"/>
        <w:ind w:left="630" w:leftChars="200" w:hanging="210" w:hangingChars="100"/>
        <w:jc w:val="left"/>
        <w:rPr>
          <w:rFonts w:asciiTheme="minorEastAsia" w:hAnsiTheme="minorEastAsia"/>
          <w:szCs w:val="21"/>
          <w:highlight w:val="none"/>
        </w:rPr>
      </w:pPr>
      <w:r>
        <w:rPr>
          <w:rFonts w:hint="eastAsia" w:asciiTheme="minorEastAsia" w:hAnsiTheme="minorEastAsia"/>
          <w:szCs w:val="21"/>
          <w:highlight w:val="none"/>
        </w:rPr>
        <w:t>技术性响应文件</w:t>
      </w:r>
    </w:p>
    <w:p>
      <w:pPr>
        <w:pStyle w:val="7"/>
        <w:ind w:firstLine="400"/>
        <w:rPr>
          <w:rFonts w:ascii="宋体" w:hAnsi="宋体"/>
          <w:sz w:val="24"/>
          <w:highlight w:val="none"/>
        </w:rPr>
      </w:pPr>
      <w:r>
        <w:rPr>
          <w:rFonts w:hint="eastAsia" w:asciiTheme="minorEastAsia" w:hAnsiTheme="minorEastAsia"/>
          <w:sz w:val="21"/>
          <w:szCs w:val="21"/>
          <w:highlight w:val="none"/>
        </w:rPr>
        <w:t>5.1</w:t>
      </w:r>
      <w:r>
        <w:rPr>
          <w:rFonts w:hint="eastAsia" w:asciiTheme="minorEastAsia" w:hAnsiTheme="minorEastAsia" w:eastAsiaTheme="minorEastAsia" w:cstheme="minorBidi"/>
          <w:kern w:val="2"/>
          <w:sz w:val="21"/>
          <w:szCs w:val="21"/>
          <w:highlight w:val="none"/>
        </w:rPr>
        <w:t>深化设计方案；</w:t>
      </w:r>
    </w:p>
    <w:p>
      <w:pPr>
        <w:pStyle w:val="7"/>
        <w:ind w:firstLine="400"/>
        <w:rPr>
          <w:rFonts w:asciiTheme="minorEastAsia" w:hAnsiTheme="minorEastAsia"/>
          <w:sz w:val="21"/>
          <w:szCs w:val="21"/>
          <w:highlight w:val="none"/>
        </w:rPr>
      </w:pPr>
      <w:r>
        <w:rPr>
          <w:rFonts w:hint="eastAsia" w:asciiTheme="minorEastAsia" w:hAnsiTheme="minorEastAsia"/>
          <w:sz w:val="21"/>
          <w:szCs w:val="21"/>
          <w:highlight w:val="none"/>
        </w:rPr>
        <w:t>5.2 施工方案；</w:t>
      </w:r>
    </w:p>
    <w:p>
      <w:pPr>
        <w:pStyle w:val="7"/>
        <w:ind w:firstLine="400"/>
        <w:rPr>
          <w:rFonts w:ascii="宋体" w:hAnsi="宋体" w:cs="宋体"/>
          <w:sz w:val="21"/>
          <w:szCs w:val="21"/>
          <w:highlight w:val="none"/>
        </w:rPr>
      </w:pPr>
      <w:r>
        <w:rPr>
          <w:rFonts w:hint="eastAsia" w:ascii="宋体" w:hAnsi="宋体" w:cs="宋体"/>
          <w:sz w:val="21"/>
          <w:szCs w:val="21"/>
          <w:highlight w:val="none"/>
        </w:rPr>
        <w:t>5.3 投标设备简要说明一览表；</w:t>
      </w:r>
    </w:p>
    <w:p>
      <w:pPr>
        <w:pStyle w:val="7"/>
        <w:ind w:firstLine="400"/>
        <w:rPr>
          <w:rFonts w:ascii="宋体" w:hAnsi="宋体" w:cs="宋体"/>
          <w:sz w:val="21"/>
          <w:szCs w:val="21"/>
          <w:highlight w:val="none"/>
        </w:rPr>
      </w:pPr>
      <w:r>
        <w:rPr>
          <w:rFonts w:hint="eastAsia" w:ascii="宋体" w:hAnsi="宋体" w:cs="宋体"/>
          <w:sz w:val="21"/>
          <w:szCs w:val="21"/>
          <w:highlight w:val="none"/>
        </w:rPr>
        <w:t>5.4 项目管理机构；</w:t>
      </w:r>
    </w:p>
    <w:p>
      <w:pPr>
        <w:pStyle w:val="7"/>
        <w:ind w:firstLine="400"/>
        <w:rPr>
          <w:rFonts w:ascii="宋体" w:hAnsi="宋体" w:cs="宋体"/>
          <w:sz w:val="21"/>
          <w:szCs w:val="21"/>
          <w:highlight w:val="none"/>
        </w:rPr>
      </w:pPr>
      <w:r>
        <w:rPr>
          <w:rFonts w:hint="eastAsia" w:ascii="宋体" w:hAnsi="宋体" w:cs="宋体"/>
          <w:sz w:val="21"/>
          <w:szCs w:val="21"/>
          <w:highlight w:val="none"/>
        </w:rPr>
        <w:t>5.5 培训和售后服务计划；</w:t>
      </w:r>
    </w:p>
    <w:p>
      <w:pPr>
        <w:pStyle w:val="7"/>
        <w:ind w:firstLine="400"/>
        <w:rPr>
          <w:rFonts w:ascii="宋体" w:hAnsi="宋体" w:cs="宋体"/>
          <w:sz w:val="21"/>
          <w:szCs w:val="21"/>
          <w:highlight w:val="none"/>
        </w:rPr>
      </w:pPr>
      <w:r>
        <w:rPr>
          <w:rFonts w:hint="eastAsia" w:ascii="宋体" w:hAnsi="宋体" w:cs="宋体"/>
          <w:sz w:val="21"/>
          <w:szCs w:val="21"/>
          <w:highlight w:val="none"/>
        </w:rPr>
        <w:t>5.6 对产品售后服务的方案及承诺，包括售后维修服务网点的数量及分布情况；</w:t>
      </w:r>
    </w:p>
    <w:p>
      <w:pPr>
        <w:pStyle w:val="7"/>
        <w:ind w:firstLine="400"/>
        <w:rPr>
          <w:rFonts w:ascii="宋体" w:hAnsi="宋体" w:cs="宋体"/>
          <w:sz w:val="21"/>
          <w:szCs w:val="21"/>
          <w:highlight w:val="none"/>
        </w:rPr>
      </w:pPr>
      <w:r>
        <w:rPr>
          <w:rFonts w:hint="eastAsia" w:ascii="宋体" w:hAnsi="宋体" w:cs="宋体"/>
          <w:sz w:val="21"/>
          <w:szCs w:val="21"/>
          <w:highlight w:val="none"/>
        </w:rPr>
        <w:t>5.7 技术规格、参数偏离表</w:t>
      </w:r>
    </w:p>
    <w:p>
      <w:pPr>
        <w:pStyle w:val="7"/>
        <w:spacing w:line="360" w:lineRule="auto"/>
        <w:ind w:firstLine="403"/>
        <w:rPr>
          <w:rFonts w:ascii="宋体" w:hAnsi="宋体" w:cs="宋体"/>
          <w:sz w:val="21"/>
          <w:szCs w:val="21"/>
          <w:highlight w:val="none"/>
        </w:rPr>
      </w:pPr>
      <w:r>
        <w:rPr>
          <w:rFonts w:hint="eastAsia" w:ascii="宋体" w:hAnsi="宋体" w:cs="宋体"/>
          <w:sz w:val="21"/>
          <w:szCs w:val="21"/>
          <w:highlight w:val="none"/>
        </w:rPr>
        <w:t xml:space="preserve">5.8 投标人认为需要提供的其他资料。 </w:t>
      </w:r>
    </w:p>
    <w:p>
      <w:pPr>
        <w:pStyle w:val="7"/>
        <w:spacing w:line="360" w:lineRule="auto"/>
        <w:ind w:firstLine="403"/>
        <w:rPr>
          <w:rFonts w:ascii="宋体" w:hAnsi="宋体" w:cs="宋体"/>
          <w:sz w:val="21"/>
          <w:szCs w:val="21"/>
          <w:highlight w:val="none"/>
        </w:rPr>
      </w:pPr>
      <w:r>
        <w:rPr>
          <w:rFonts w:ascii="宋体" w:hAnsi="宋体" w:cs="宋体"/>
          <w:sz w:val="21"/>
          <w:szCs w:val="21"/>
          <w:highlight w:val="none"/>
        </w:rPr>
        <w:t>对照招标文件技术规格，逐条说明所提供货物和服务已对招标人的技术规格做出了实质性的响应，或申明与技术规格条文的偏差和例外。特别对于有具体参数要求的指标，投标人必须提供所投设备的具体参数值。否则视为未做出实质性响应，将导致废标</w:t>
      </w:r>
      <w:r>
        <w:rPr>
          <w:rFonts w:hint="eastAsia" w:ascii="宋体" w:hAnsi="宋体" w:cs="宋体"/>
          <w:sz w:val="21"/>
          <w:szCs w:val="21"/>
          <w:highlight w:val="none"/>
        </w:rPr>
        <w:t>。</w:t>
      </w:r>
    </w:p>
    <w:p>
      <w:pPr>
        <w:pStyle w:val="7"/>
        <w:rPr>
          <w:rFonts w:ascii="宋体" w:hAnsi="宋体" w:cs="宋体"/>
          <w:sz w:val="21"/>
          <w:szCs w:val="21"/>
          <w:highlight w:val="none"/>
        </w:rPr>
      </w:pPr>
      <w:r>
        <w:rPr>
          <w:rFonts w:hint="eastAsia" w:asciiTheme="minorEastAsia" w:hAnsiTheme="minorEastAsia"/>
          <w:szCs w:val="21"/>
          <w:highlight w:val="none"/>
        </w:rPr>
        <w:t xml:space="preserve"> </w:t>
      </w:r>
      <w:r>
        <w:rPr>
          <w:rFonts w:hint="eastAsia" w:ascii="宋体" w:hAnsi="宋体" w:cs="宋体"/>
          <w:sz w:val="21"/>
          <w:szCs w:val="21"/>
          <w:highlight w:val="none"/>
        </w:rPr>
        <w:t xml:space="preserve">  </w:t>
      </w:r>
    </w:p>
    <w:p>
      <w:pPr>
        <w:pStyle w:val="7"/>
        <w:rPr>
          <w:rFonts w:ascii="宋体" w:hAnsi="宋体" w:cs="宋体"/>
          <w:sz w:val="21"/>
          <w:szCs w:val="21"/>
          <w:highlight w:val="none"/>
        </w:rPr>
      </w:pPr>
      <w:r>
        <w:rPr>
          <w:rFonts w:hint="eastAsia" w:ascii="宋体" w:hAnsi="宋体" w:cs="宋体"/>
          <w:sz w:val="21"/>
          <w:szCs w:val="21"/>
          <w:highlight w:val="none"/>
        </w:rPr>
        <w:t xml:space="preserve">  </w:t>
      </w:r>
      <w:r>
        <w:rPr>
          <w:rFonts w:hint="eastAsia" w:ascii="宋体" w:hAnsi="宋体" w:cs="宋体"/>
          <w:b/>
          <w:bCs/>
          <w:sz w:val="21"/>
          <w:szCs w:val="21"/>
          <w:highlight w:val="none"/>
        </w:rPr>
        <w:t>商务标部分</w:t>
      </w:r>
    </w:p>
    <w:p>
      <w:pPr>
        <w:pStyle w:val="7"/>
        <w:ind w:firstLine="420" w:firstLineChars="200"/>
        <w:rPr>
          <w:rFonts w:ascii="宋体" w:hAnsi="宋体" w:cs="宋体"/>
          <w:sz w:val="21"/>
          <w:szCs w:val="21"/>
          <w:highlight w:val="none"/>
        </w:rPr>
      </w:pPr>
      <w:r>
        <w:rPr>
          <w:rFonts w:hint="eastAsia" w:ascii="宋体" w:hAnsi="宋体" w:cs="宋体"/>
          <w:sz w:val="21"/>
          <w:szCs w:val="21"/>
          <w:highlight w:val="none"/>
        </w:rPr>
        <w:t>1.投标函（含报价）</w:t>
      </w:r>
    </w:p>
    <w:p>
      <w:pPr>
        <w:pStyle w:val="7"/>
        <w:ind w:firstLine="400"/>
        <w:rPr>
          <w:rFonts w:ascii="宋体" w:hAnsi="宋体" w:cs="宋体"/>
          <w:sz w:val="21"/>
          <w:szCs w:val="21"/>
          <w:highlight w:val="none"/>
        </w:rPr>
      </w:pPr>
      <w:r>
        <w:rPr>
          <w:rFonts w:hint="eastAsia" w:ascii="宋体" w:hAnsi="宋体" w:cs="宋体"/>
          <w:sz w:val="21"/>
          <w:szCs w:val="21"/>
          <w:highlight w:val="none"/>
        </w:rPr>
        <w:t>2.清单报价表</w:t>
      </w:r>
    </w:p>
    <w:p>
      <w:pPr>
        <w:pStyle w:val="7"/>
        <w:ind w:firstLine="400"/>
        <w:rPr>
          <w:rFonts w:ascii="宋体" w:hAnsi="宋体" w:cs="宋体"/>
          <w:sz w:val="21"/>
          <w:szCs w:val="21"/>
          <w:highlight w:val="none"/>
        </w:rPr>
      </w:pPr>
      <w:r>
        <w:rPr>
          <w:rFonts w:hint="eastAsia" w:ascii="宋体" w:hAnsi="宋体" w:cs="宋体"/>
          <w:sz w:val="21"/>
          <w:szCs w:val="21"/>
          <w:highlight w:val="none"/>
        </w:rPr>
        <w:t>3.投标保证金缴纳证明</w:t>
      </w:r>
    </w:p>
    <w:p>
      <w:pPr>
        <w:pStyle w:val="7"/>
        <w:ind w:firstLine="400"/>
        <w:rPr>
          <w:rFonts w:ascii="宋体" w:hAnsi="宋体" w:cs="宋体"/>
          <w:sz w:val="21"/>
          <w:szCs w:val="21"/>
          <w:highlight w:val="none"/>
        </w:rPr>
      </w:pPr>
      <w:r>
        <w:rPr>
          <w:rFonts w:hint="eastAsia" w:ascii="宋体" w:hAnsi="宋体" w:cs="宋体"/>
          <w:sz w:val="21"/>
          <w:szCs w:val="21"/>
          <w:highlight w:val="none"/>
        </w:rPr>
        <w:t>4.近三年财务报表</w:t>
      </w:r>
    </w:p>
    <w:p>
      <w:pPr>
        <w:pStyle w:val="7"/>
        <w:ind w:firstLine="400"/>
        <w:rPr>
          <w:rFonts w:ascii="宋体" w:hAnsi="宋体" w:cs="宋体"/>
          <w:sz w:val="21"/>
          <w:szCs w:val="21"/>
          <w:highlight w:val="none"/>
        </w:rPr>
      </w:pPr>
      <w:r>
        <w:rPr>
          <w:rFonts w:hint="eastAsia" w:ascii="宋体" w:hAnsi="宋体" w:cs="宋体"/>
          <w:sz w:val="21"/>
          <w:szCs w:val="21"/>
          <w:highlight w:val="none"/>
        </w:rPr>
        <w:t>5.商务条款偏离表</w:t>
      </w:r>
    </w:p>
    <w:p>
      <w:pPr>
        <w:pStyle w:val="7"/>
        <w:ind w:firstLine="400"/>
        <w:rPr>
          <w:rFonts w:ascii="宋体" w:hAnsi="宋体" w:cs="宋体"/>
          <w:sz w:val="21"/>
          <w:szCs w:val="21"/>
          <w:highlight w:val="none"/>
        </w:rPr>
      </w:pPr>
      <w:r>
        <w:rPr>
          <w:rFonts w:hint="eastAsia" w:ascii="宋体" w:hAnsi="宋体" w:cs="宋体"/>
          <w:sz w:val="21"/>
          <w:szCs w:val="21"/>
          <w:highlight w:val="none"/>
        </w:rPr>
        <w:t>6.专用工具清单、备品备件清单</w:t>
      </w:r>
    </w:p>
    <w:p>
      <w:pPr>
        <w:pStyle w:val="7"/>
        <w:ind w:firstLine="400"/>
        <w:rPr>
          <w:rFonts w:ascii="宋体" w:hAnsi="宋体" w:cs="宋体"/>
          <w:sz w:val="21"/>
          <w:szCs w:val="21"/>
          <w:highlight w:val="none"/>
        </w:rPr>
      </w:pPr>
      <w:r>
        <w:rPr>
          <w:rFonts w:hint="eastAsia" w:ascii="宋体" w:hAnsi="宋体" w:cs="宋体"/>
          <w:sz w:val="21"/>
          <w:szCs w:val="21"/>
          <w:highlight w:val="none"/>
        </w:rPr>
        <w:t>7.赠送专用工具清单、备品备件清单</w:t>
      </w:r>
    </w:p>
    <w:p>
      <w:pPr>
        <w:spacing w:line="360" w:lineRule="auto"/>
        <w:ind w:left="674" w:leftChars="171" w:hanging="315" w:hangingChars="150"/>
        <w:rPr>
          <w:rFonts w:asciiTheme="minorEastAsia" w:hAnsiTheme="minorEastAsia"/>
          <w:szCs w:val="21"/>
          <w:highlight w:val="none"/>
        </w:rPr>
      </w:pPr>
      <w:r>
        <w:rPr>
          <w:rFonts w:hint="eastAsia" w:asciiTheme="minorEastAsia" w:hAnsiTheme="minorEastAsia"/>
          <w:szCs w:val="21"/>
          <w:highlight w:val="none"/>
        </w:rPr>
        <w:t xml:space="preserve"> (二)投标文件的份数和签署</w:t>
      </w:r>
    </w:p>
    <w:p>
      <w:pPr>
        <w:spacing w:line="360" w:lineRule="auto"/>
        <w:ind w:firstLine="411" w:firstLineChars="196"/>
        <w:rPr>
          <w:rFonts w:asciiTheme="minorEastAsia" w:hAnsiTheme="minorEastAsia"/>
          <w:b/>
          <w:bCs/>
          <w:szCs w:val="21"/>
          <w:highlight w:val="none"/>
        </w:rPr>
      </w:pPr>
      <w:r>
        <w:rPr>
          <w:rFonts w:hint="eastAsia" w:asciiTheme="minorEastAsia" w:hAnsiTheme="minorEastAsia"/>
          <w:szCs w:val="21"/>
          <w:highlight w:val="none"/>
        </w:rPr>
        <w:t>1、 投标文件由正、副本组成。投标文件的正本和副本均应在投标文件封面的右上角清楚地注明“正本”或“副本”。正本和副本如有不一致之处，以正本为准。所有投标文件须同时提供电子版，存放在U盘中。</w:t>
      </w:r>
    </w:p>
    <w:p>
      <w:pPr>
        <w:adjustRightInd w:val="0"/>
        <w:snapToGri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w:t>
      </w:r>
      <w:r>
        <w:rPr>
          <w:rFonts w:hint="eastAsia" w:asciiTheme="minorEastAsia" w:hAnsiTheme="minorEastAsia"/>
          <w:b/>
          <w:bCs/>
          <w:szCs w:val="21"/>
          <w:highlight w:val="none"/>
        </w:rPr>
        <w:t xml:space="preserve"> </w:t>
      </w:r>
      <w:r>
        <w:rPr>
          <w:rFonts w:hint="eastAsia" w:asciiTheme="minorEastAsia" w:hAnsiTheme="minorEastAsia"/>
          <w:szCs w:val="21"/>
          <w:highlight w:val="none"/>
        </w:rPr>
        <w:t>标书编制必须用A4、以宋体小四打印；投标人应在投标文件封面上加盖投标人公章或代表人签章。投标文件所有内容全部密封在一个投标文件密封袋中递交。投标文件密封袋上应写明“招标人名称”、“项目名称”和“开标前不得开封”的标志。</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 标书不应有涂改、增删之处，但如果有错误必须修改时，修改处必须由原授权代表签字。</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 投标文件以及投标者给招标人的函件和一切文件资料，必须以中文书写。</w:t>
      </w:r>
    </w:p>
    <w:p>
      <w:pPr>
        <w:pStyle w:val="4"/>
        <w:rPr>
          <w:highlight w:val="none"/>
        </w:rPr>
      </w:pPr>
      <w:bookmarkStart w:id="24" w:name="_Toc21216"/>
      <w:r>
        <w:rPr>
          <w:rFonts w:hint="eastAsia"/>
          <w:highlight w:val="none"/>
        </w:rPr>
        <w:t>六、投标文件的递交</w:t>
      </w:r>
      <w:bookmarkEnd w:id="24"/>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(一)投标文件的密封与标志</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应将投标文件的正、副本应密封，封袋上都应写明招标人名称、项目名称，并在封袋骑缝处加盖投标人公章。</w:t>
      </w:r>
      <w:r>
        <w:rPr>
          <w:rFonts w:hint="eastAsia" w:asciiTheme="minorEastAsia" w:hAnsiTheme="minorEastAsia"/>
          <w:b/>
          <w:bCs/>
          <w:szCs w:val="21"/>
          <w:highlight w:val="none"/>
        </w:rPr>
        <w:t>投标文件技术标与商务标分开装订后，分别单独封装、密封，技术标部分不得涉及商务内容。</w:t>
      </w:r>
    </w:p>
    <w:p>
      <w:pPr>
        <w:spacing w:line="360" w:lineRule="auto"/>
        <w:ind w:left="674" w:leftChars="171" w:hanging="315" w:hangingChars="150"/>
        <w:rPr>
          <w:rFonts w:asciiTheme="minorEastAsia" w:hAnsiTheme="minorEastAsia"/>
          <w:szCs w:val="21"/>
          <w:highlight w:val="none"/>
        </w:rPr>
      </w:pPr>
      <w:r>
        <w:rPr>
          <w:rFonts w:hint="eastAsia" w:asciiTheme="minorEastAsia" w:hAnsiTheme="minorEastAsia"/>
          <w:szCs w:val="21"/>
          <w:highlight w:val="none"/>
        </w:rPr>
        <w:t>(二)投标截止期</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1、投标人应在投标须知中规定的时间之前将投标文件递交到指定地点。招标人在接到投标文件时将在投标文件接收表上注明收到的日期和时间。</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2、招标人可以按本招标文件规定以修改通知的方式，酌情延长递交投标文件的截止日期。在上述情况下，招标人与投标人以前的投标截止期方面的全部权力、责任和义务，将适用于延长后新的投标截止期。</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(三)投标文件的修改与撤回</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1、投标人可以在递交投标文件以后，在规定的投标截止期之前，以书面形式向招标人递交修改的通知。在投标截止期以后，不得更改投标文件。</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2、投标人的修改通知，应按本招标文件规定的要求编制、密封、标志和递交(密封袋上应标明“修改”或“撤回”字样)。</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3、投标截止期以后，在投标有效期内，投标人不得撤回投标文件，否则其投标保证金将被没收。</w:t>
      </w:r>
    </w:p>
    <w:p>
      <w:pPr>
        <w:pStyle w:val="4"/>
        <w:rPr>
          <w:highlight w:val="none"/>
        </w:rPr>
      </w:pPr>
      <w:bookmarkStart w:id="25" w:name="_Toc16685"/>
      <w:r>
        <w:rPr>
          <w:rFonts w:hint="eastAsia"/>
          <w:highlight w:val="none"/>
        </w:rPr>
        <w:t>七、开标、评标、定标</w:t>
      </w:r>
      <w:bookmarkEnd w:id="25"/>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(一)开标</w:t>
      </w:r>
    </w:p>
    <w:p>
      <w:pPr>
        <w:spacing w:line="360" w:lineRule="auto"/>
        <w:ind w:left="735" w:leftChars="200" w:hanging="315" w:hangingChars="150"/>
        <w:rPr>
          <w:rFonts w:asciiTheme="minorEastAsia" w:hAnsiTheme="minorEastAsia"/>
          <w:szCs w:val="21"/>
          <w:highlight w:val="none"/>
        </w:rPr>
      </w:pPr>
      <w:r>
        <w:rPr>
          <w:rFonts w:hint="eastAsia" w:asciiTheme="minorEastAsia" w:hAnsiTheme="minorEastAsia"/>
          <w:szCs w:val="21"/>
          <w:highlight w:val="none"/>
        </w:rPr>
        <w:t>1、开标由招标人自行组织进行 。</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2、在开标时，投标文件出现下列情形之一的，将作为无效投标文件，不进入评标：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(1)投标文件未按照招标文件的要求予以密封的；提交的投标文件正、副本份数不符合招标文件要求的；</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(2)投标文件中的投标函未加盖投标人的企业及企业法定代表人印章的，或者企业法定代表人委托代理人没有合法、有效的委托书(原件)及委托代理人印章的；</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(3)投标文件的关键内容字迹模糊、无法辨认的；</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(4)投标人未按照招标文件的要求提供投标保证金的。</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(二)评标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1、评标工作：评标工作由招标人自行组织进行。</w:t>
      </w:r>
    </w:p>
    <w:p>
      <w:pPr>
        <w:spacing w:line="360" w:lineRule="auto"/>
        <w:ind w:left="659" w:leftChars="114" w:hanging="420" w:hangingChars="200"/>
        <w:rPr>
          <w:rFonts w:asciiTheme="minorEastAsia" w:hAnsiTheme="minorEastAsia"/>
          <w:szCs w:val="21"/>
          <w:highlight w:val="none"/>
        </w:rPr>
      </w:pPr>
      <w:r>
        <w:rPr>
          <w:rFonts w:hint="eastAsia" w:asciiTheme="minorEastAsia" w:hAnsiTheme="minorEastAsia"/>
          <w:szCs w:val="21"/>
          <w:highlight w:val="none"/>
        </w:rPr>
        <w:t xml:space="preserve"> (三)投标文件的澄清</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1、为了有助于投标文件的审查、评价和比较，招标人可以书面方式要求投标人对投标文件中含义不明确、对同类问题表述不一致或者有明显文字和计算错误的内容作必要的澄清、说明或者补正。</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2、投标文件中的大写金额和小写金额不一致，以大写金额为准；总价金额与单价金额不一致，以单价金额为准，但单价金额小数点有明显错误的除外。</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(四)在评标过程中，招标人若发现投标人以他人的名义投标、串通、以行贿手段谋取中标或者以其他弄虚作假方式投标的，该投标人的投标将作废标处理。</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(五)投标人资格条件不符合国家有关规定和招标文件要求的，或者拒不按照要求对投标文件进行澄清、说明或者补正的，招标人可以否决其投标。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(六)招标人将审查每一投标文件是否对招标文件提出的所有实质性要求和条件做出响应。未能在实质上完全响应的投标，将作废标处理。</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(七)投标文件有下述情形之一的，属于重大偏差、视为未能对招标文件做出实质性响应，并按前条规定作废标处理：</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1、不符合招标文件中规定的其他实质性要求。</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2、招标人根据规定否决不合格投标或者界定为废标后，因有效投标不足使得投标明显缺乏竞争的，可以否决全部投标。所有投标被否决的，招标人依法重新招标。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八)评标和定标将在投标有效期内完成。如招标人不能在投标有效期内完成评标和定标的，招标人将通知所有投标人延长投标有效期。拒绝延长投标有效期的投标人有权收回投标保证金。同意延长投标有效期的投标人应当相应延长其投标担保的有效期，但不得修改投标文件的实质性内容。</w:t>
      </w:r>
    </w:p>
    <w:p>
      <w:pPr>
        <w:pStyle w:val="4"/>
        <w:rPr>
          <w:highlight w:val="none"/>
        </w:rPr>
      </w:pPr>
      <w:bookmarkStart w:id="26" w:name="_Toc32698"/>
      <w:r>
        <w:rPr>
          <w:rFonts w:hint="eastAsia"/>
          <w:highlight w:val="none"/>
        </w:rPr>
        <w:t>八、技术标评分办法</w:t>
      </w:r>
      <w:bookmarkEnd w:id="26"/>
    </w:p>
    <w:p>
      <w:pPr>
        <w:ind w:firstLine="480"/>
        <w:jc w:val="center"/>
        <w:rPr>
          <w:rFonts w:ascii="黑体" w:hAnsi="黑体" w:eastAsia="黑体"/>
          <w:sz w:val="24"/>
          <w:highlight w:val="none"/>
        </w:rPr>
      </w:pPr>
      <w:r>
        <w:rPr>
          <w:rFonts w:hint="eastAsia" w:ascii="黑体" w:hAnsi="黑体" w:eastAsia="黑体"/>
          <w:sz w:val="24"/>
          <w:highlight w:val="none"/>
        </w:rPr>
        <w:t>技术标评标表格</w:t>
      </w:r>
    </w:p>
    <w:p>
      <w:pPr>
        <w:numPr>
          <w:ilvl w:val="0"/>
          <w:numId w:val="3"/>
        </w:numPr>
        <w:rPr>
          <w:rFonts w:ascii="宋体" w:hAnsi="宋体" w:eastAsia="宋体" w:cs="宋体"/>
          <w:szCs w:val="21"/>
          <w:highlight w:val="none"/>
        </w:rPr>
      </w:pPr>
      <w:r>
        <w:rPr>
          <w:rFonts w:hint="eastAsia" w:ascii="宋体" w:hAnsi="宋体" w:eastAsia="宋体" w:cs="宋体"/>
          <w:szCs w:val="21"/>
          <w:highlight w:val="none"/>
        </w:rPr>
        <w:t>技术标评分办法</w:t>
      </w:r>
    </w:p>
    <w:tbl>
      <w:tblPr>
        <w:tblStyle w:val="20"/>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81"/>
        <w:gridCol w:w="897"/>
        <w:gridCol w:w="1810"/>
        <w:gridCol w:w="4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trPr>
        <w:tc>
          <w:tcPr>
            <w:tcW w:w="576" w:type="pct"/>
            <w:tcBorders>
              <w:top w:val="single" w:color="000000" w:sz="6" w:space="0"/>
              <w:left w:val="single" w:color="000000" w:sz="6" w:space="0"/>
              <w:bottom w:val="single" w:color="000000" w:sz="6" w:space="0"/>
              <w:right w:val="single" w:color="000000" w:sz="6" w:space="0"/>
            </w:tcBorders>
            <w:shd w:val="clear" w:color="auto" w:fill="auto"/>
            <w:vAlign w:val="center"/>
          </w:tcPr>
          <w:p>
            <w:pPr>
              <w:tabs>
                <w:tab w:val="left" w:pos="360"/>
                <w:tab w:val="left" w:pos="540"/>
              </w:tabs>
              <w:spacing w:line="360" w:lineRule="auto"/>
              <w:rPr>
                <w:rFonts w:ascii="宋体" w:hAnsi="宋体"/>
                <w:b/>
                <w:color w:val="000000"/>
                <w:szCs w:val="21"/>
                <w:highlight w:val="none"/>
              </w:rPr>
            </w:pPr>
            <w:r>
              <w:rPr>
                <w:rFonts w:ascii="宋体" w:hAnsi="宋体"/>
                <w:b/>
                <w:color w:val="000000"/>
                <w:szCs w:val="21"/>
                <w:highlight w:val="none"/>
              </w:rPr>
              <w:t>条款号</w:t>
            </w:r>
          </w:p>
        </w:tc>
        <w:tc>
          <w:tcPr>
            <w:tcW w:w="1588" w:type="pct"/>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52"/>
              <w:spacing w:line="240" w:lineRule="atLeast"/>
              <w:jc w:val="center"/>
              <w:rPr>
                <w:rFonts w:cs="Times New Roman"/>
                <w:b/>
                <w:sz w:val="21"/>
                <w:szCs w:val="21"/>
                <w:highlight w:val="none"/>
              </w:rPr>
            </w:pPr>
            <w:r>
              <w:rPr>
                <w:rFonts w:cs="Times New Roman"/>
                <w:b/>
                <w:sz w:val="21"/>
                <w:szCs w:val="21"/>
                <w:highlight w:val="none"/>
              </w:rPr>
              <w:t>评分因素</w:t>
            </w:r>
          </w:p>
        </w:tc>
        <w:tc>
          <w:tcPr>
            <w:tcW w:w="2836"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52"/>
              <w:spacing w:line="240" w:lineRule="atLeast"/>
              <w:jc w:val="center"/>
              <w:rPr>
                <w:rFonts w:cs="Times New Roman"/>
                <w:b/>
                <w:sz w:val="21"/>
                <w:szCs w:val="21"/>
                <w:highlight w:val="none"/>
              </w:rPr>
            </w:pPr>
            <w:r>
              <w:rPr>
                <w:rFonts w:cs="Times New Roman"/>
                <w:b/>
                <w:sz w:val="21"/>
                <w:szCs w:val="21"/>
                <w:highlight w:val="none"/>
              </w:rPr>
              <w:t>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85" w:hRule="atLeast"/>
        </w:trPr>
        <w:tc>
          <w:tcPr>
            <w:tcW w:w="576" w:type="pct"/>
            <w:vMerge w:val="restart"/>
            <w:tcBorders>
              <w:top w:val="single" w:color="000000" w:sz="6" w:space="0"/>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r>
              <w:rPr>
                <w:rFonts w:ascii="宋体" w:hAnsi="宋体"/>
                <w:color w:val="000000"/>
                <w:szCs w:val="21"/>
                <w:highlight w:val="none"/>
              </w:rPr>
              <w:t>1</w:t>
            </w:r>
          </w:p>
        </w:tc>
        <w:tc>
          <w:tcPr>
            <w:tcW w:w="526" w:type="pct"/>
            <w:vMerge w:val="restart"/>
            <w:tcBorders>
              <w:top w:val="single" w:color="000000" w:sz="6" w:space="0"/>
              <w:left w:val="single" w:color="000000" w:sz="6" w:space="0"/>
              <w:right w:val="single" w:color="000000" w:sz="6" w:space="0"/>
            </w:tcBorders>
            <w:shd w:val="clear" w:color="auto" w:fill="auto"/>
            <w:vAlign w:val="center"/>
          </w:tcPr>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企业综合实力（</w:t>
            </w:r>
            <w:r>
              <w:rPr>
                <w:rFonts w:hint="eastAsia" w:ascii="宋体" w:hAnsi="宋体"/>
                <w:color w:val="000000"/>
                <w:sz w:val="21"/>
                <w:szCs w:val="21"/>
                <w:highlight w:val="none"/>
              </w:rPr>
              <w:t>1</w:t>
            </w:r>
            <w:r>
              <w:rPr>
                <w:rFonts w:ascii="宋体" w:hAnsi="宋体"/>
                <w:color w:val="000000"/>
                <w:sz w:val="21"/>
                <w:szCs w:val="21"/>
                <w:highlight w:val="none"/>
              </w:rPr>
              <w:t>0分）</w:t>
            </w:r>
          </w:p>
        </w:tc>
        <w:tc>
          <w:tcPr>
            <w:tcW w:w="1062" w:type="pct"/>
            <w:tcBorders>
              <w:top w:val="single" w:color="000000" w:sz="6" w:space="0"/>
              <w:left w:val="single" w:color="000000" w:sz="6" w:space="0"/>
              <w:right w:val="single" w:color="000000" w:sz="6" w:space="0"/>
            </w:tcBorders>
            <w:shd w:val="clear" w:color="auto" w:fill="auto"/>
            <w:vAlign w:val="center"/>
          </w:tcPr>
          <w:p>
            <w:pPr>
              <w:pStyle w:val="77"/>
              <w:widowControl w:val="0"/>
              <w:spacing w:line="360" w:lineRule="auto"/>
              <w:rPr>
                <w:rFonts w:ascii="宋体" w:hAnsi="宋体" w:eastAsia="宋体"/>
                <w:color w:val="000000"/>
                <w:szCs w:val="21"/>
                <w:highlight w:val="none"/>
              </w:rPr>
            </w:pPr>
            <w:r>
              <w:rPr>
                <w:rFonts w:ascii="宋体" w:hAnsi="宋体" w:eastAsia="宋体"/>
                <w:color w:val="000000"/>
                <w:szCs w:val="21"/>
                <w:highlight w:val="none"/>
              </w:rPr>
              <w:t>注册资金</w:t>
            </w:r>
          </w:p>
        </w:tc>
        <w:tc>
          <w:tcPr>
            <w:tcW w:w="2836" w:type="pct"/>
            <w:tcBorders>
              <w:top w:val="single" w:color="000000" w:sz="6" w:space="0"/>
              <w:left w:val="single" w:color="000000" w:sz="6" w:space="0"/>
              <w:right w:val="single" w:color="000000" w:sz="6" w:space="0"/>
            </w:tcBorders>
            <w:shd w:val="clear" w:color="auto" w:fill="auto"/>
            <w:vAlign w:val="center"/>
          </w:tcPr>
          <w:p>
            <w:pPr>
              <w:rPr>
                <w:rFonts w:ascii="宋体" w:hAnsi="宋体"/>
                <w:color w:val="000000"/>
                <w:kern w:val="0"/>
                <w:szCs w:val="21"/>
                <w:highlight w:val="none"/>
              </w:rPr>
            </w:pPr>
            <w:r>
              <w:rPr>
                <w:rFonts w:ascii="宋体" w:hAnsi="宋体"/>
                <w:color w:val="000000"/>
                <w:kern w:val="0"/>
                <w:szCs w:val="21"/>
                <w:highlight w:val="none"/>
              </w:rPr>
              <w:t>注册资金，</w:t>
            </w:r>
            <w:r>
              <w:rPr>
                <w:rFonts w:ascii="宋体" w:hAnsi="宋体"/>
                <w:color w:val="000000"/>
                <w:szCs w:val="21"/>
                <w:highlight w:val="none"/>
              </w:rPr>
              <w:t>需</w:t>
            </w:r>
            <w:r>
              <w:rPr>
                <w:rFonts w:ascii="宋体" w:hAnsi="宋体"/>
                <w:color w:val="000000"/>
                <w:kern w:val="0"/>
                <w:szCs w:val="21"/>
                <w:highlight w:val="none"/>
              </w:rPr>
              <w:t>提供复印件，且应真实有效。</w:t>
            </w:r>
          </w:p>
          <w:p>
            <w:pPr>
              <w:rPr>
                <w:rFonts w:ascii="宋体" w:hAnsi="宋体"/>
                <w:color w:val="000000"/>
                <w:kern w:val="0"/>
                <w:szCs w:val="21"/>
                <w:highlight w:val="none"/>
              </w:rPr>
            </w:pPr>
            <w:r>
              <w:rPr>
                <w:rFonts w:ascii="宋体" w:hAnsi="宋体"/>
                <w:color w:val="000000"/>
                <w:kern w:val="0"/>
                <w:szCs w:val="21"/>
                <w:highlight w:val="none"/>
              </w:rPr>
              <w:t>其中：</w:t>
            </w:r>
          </w:p>
          <w:p>
            <w:pPr>
              <w:rPr>
                <w:rFonts w:ascii="宋体" w:hAnsi="宋体"/>
                <w:color w:val="000000"/>
                <w:kern w:val="0"/>
                <w:szCs w:val="21"/>
                <w:highlight w:val="none"/>
              </w:rPr>
            </w:pPr>
            <w:r>
              <w:rPr>
                <w:rFonts w:hint="eastAsia" w:ascii="宋体" w:hAnsi="宋体"/>
                <w:color w:val="000000"/>
                <w:kern w:val="0"/>
                <w:szCs w:val="21"/>
                <w:highlight w:val="none"/>
              </w:rPr>
              <w:t>10</w:t>
            </w:r>
            <w:r>
              <w:rPr>
                <w:rFonts w:ascii="宋体" w:hAnsi="宋体"/>
                <w:color w:val="000000"/>
                <w:kern w:val="0"/>
                <w:szCs w:val="21"/>
                <w:highlight w:val="none"/>
              </w:rPr>
              <w:t>00万</w:t>
            </w:r>
            <w:r>
              <w:rPr>
                <w:rFonts w:hint="eastAsia" w:ascii="宋体" w:hAnsi="宋体"/>
                <w:color w:val="000000"/>
                <w:kern w:val="0"/>
                <w:szCs w:val="21"/>
                <w:highlight w:val="none"/>
              </w:rPr>
              <w:t>元</w:t>
            </w:r>
            <w:r>
              <w:rPr>
                <w:rFonts w:ascii="宋体" w:hAnsi="宋体"/>
                <w:color w:val="000000"/>
                <w:kern w:val="0"/>
                <w:szCs w:val="21"/>
                <w:highlight w:val="none"/>
              </w:rPr>
              <w:t>以下不得分。</w:t>
            </w:r>
          </w:p>
          <w:p>
            <w:pPr>
              <w:rPr>
                <w:rFonts w:ascii="宋体" w:hAnsi="宋体"/>
                <w:color w:val="000000"/>
                <w:kern w:val="0"/>
                <w:szCs w:val="21"/>
                <w:highlight w:val="none"/>
              </w:rPr>
            </w:pPr>
            <w:r>
              <w:rPr>
                <w:rFonts w:hint="eastAsia" w:ascii="宋体" w:hAnsi="宋体"/>
                <w:color w:val="000000"/>
                <w:kern w:val="0"/>
                <w:szCs w:val="21"/>
                <w:highlight w:val="none"/>
              </w:rPr>
              <w:t>本项满分2分。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576" w:type="pct"/>
            <w:vMerge w:val="continue"/>
            <w:tcBorders>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p>
        </w:tc>
        <w:tc>
          <w:tcPr>
            <w:tcW w:w="526" w:type="pct"/>
            <w:vMerge w:val="continue"/>
            <w:tcBorders>
              <w:left w:val="single" w:color="000000" w:sz="6" w:space="0"/>
              <w:right w:val="single" w:color="000000" w:sz="6" w:space="0"/>
            </w:tcBorders>
            <w:shd w:val="clear" w:color="auto" w:fill="auto"/>
            <w:vAlign w:val="center"/>
          </w:tcPr>
          <w:p>
            <w:pPr>
              <w:pStyle w:val="78"/>
              <w:spacing w:line="240" w:lineRule="atLeast"/>
              <w:jc w:val="center"/>
              <w:rPr>
                <w:rFonts w:ascii="宋体" w:hAnsi="宋体"/>
                <w:color w:val="000000"/>
                <w:sz w:val="21"/>
                <w:szCs w:val="21"/>
                <w:highlight w:val="none"/>
              </w:rPr>
            </w:pPr>
          </w:p>
        </w:tc>
        <w:tc>
          <w:tcPr>
            <w:tcW w:w="1062" w:type="pct"/>
            <w:tcBorders>
              <w:top w:val="single" w:color="000000" w:sz="6" w:space="0"/>
              <w:left w:val="single" w:color="000000" w:sz="6" w:space="0"/>
              <w:bottom w:val="single" w:color="auto" w:sz="4" w:space="0"/>
              <w:right w:val="single" w:color="000000" w:sz="6" w:space="0"/>
            </w:tcBorders>
            <w:shd w:val="clear" w:color="auto" w:fill="auto"/>
            <w:vAlign w:val="center"/>
          </w:tcPr>
          <w:p>
            <w:pPr>
              <w:pStyle w:val="77"/>
              <w:widowControl w:val="0"/>
              <w:spacing w:line="360" w:lineRule="auto"/>
              <w:rPr>
                <w:rFonts w:ascii="宋体" w:hAnsi="宋体" w:eastAsia="宋体"/>
                <w:color w:val="000000"/>
                <w:szCs w:val="21"/>
                <w:highlight w:val="none"/>
              </w:rPr>
            </w:pPr>
            <w:r>
              <w:rPr>
                <w:rFonts w:ascii="宋体" w:hAnsi="宋体" w:eastAsia="宋体"/>
                <w:color w:val="000000"/>
                <w:szCs w:val="21"/>
                <w:highlight w:val="none"/>
              </w:rPr>
              <w:t>类似或更高要求工程业绩情况</w:t>
            </w:r>
          </w:p>
        </w:tc>
        <w:tc>
          <w:tcPr>
            <w:tcW w:w="2836" w:type="pct"/>
            <w:tcBorders>
              <w:top w:val="single" w:color="000000" w:sz="6" w:space="0"/>
              <w:left w:val="single" w:color="000000" w:sz="6" w:space="0"/>
              <w:bottom w:val="single" w:color="auto" w:sz="4" w:space="0"/>
              <w:right w:val="single" w:color="000000" w:sz="6" w:space="0"/>
            </w:tcBorders>
            <w:shd w:val="clear" w:color="auto" w:fill="auto"/>
            <w:vAlign w:val="center"/>
          </w:tcPr>
          <w:p>
            <w:pPr>
              <w:rPr>
                <w:rFonts w:ascii="宋体" w:hAnsi="宋体"/>
                <w:color w:val="000000"/>
                <w:kern w:val="0"/>
                <w:szCs w:val="21"/>
                <w:highlight w:val="none"/>
              </w:rPr>
            </w:pPr>
            <w:r>
              <w:rPr>
                <w:rFonts w:ascii="宋体" w:hAnsi="宋体"/>
                <w:color w:val="000000"/>
                <w:kern w:val="0"/>
                <w:szCs w:val="21"/>
                <w:highlight w:val="none"/>
              </w:rPr>
              <w:t>投标方</w:t>
            </w:r>
            <w:r>
              <w:rPr>
                <w:rFonts w:ascii="宋体" w:hAnsi="宋体"/>
                <w:color w:val="000000"/>
                <w:szCs w:val="21"/>
                <w:highlight w:val="none"/>
              </w:rPr>
              <w:t>应有</w:t>
            </w:r>
            <w:r>
              <w:rPr>
                <w:rFonts w:ascii="宋体" w:hAnsi="宋体"/>
                <w:color w:val="000000"/>
                <w:kern w:val="0"/>
                <w:szCs w:val="21"/>
                <w:highlight w:val="none"/>
              </w:rPr>
              <w:t>与本项目类似的各类测试/试验系统或装置的设计施工总包项目的</w:t>
            </w:r>
            <w:r>
              <w:rPr>
                <w:rFonts w:ascii="宋体" w:hAnsi="宋体"/>
                <w:color w:val="000000"/>
                <w:szCs w:val="21"/>
                <w:highlight w:val="none"/>
              </w:rPr>
              <w:t>工程业绩</w:t>
            </w:r>
            <w:r>
              <w:rPr>
                <w:rFonts w:ascii="宋体" w:hAnsi="宋体"/>
                <w:color w:val="000000"/>
                <w:kern w:val="0"/>
                <w:szCs w:val="21"/>
                <w:highlight w:val="none"/>
              </w:rPr>
              <w:t>，</w:t>
            </w:r>
            <w:r>
              <w:rPr>
                <w:rFonts w:ascii="宋体" w:hAnsi="宋体"/>
                <w:color w:val="000000"/>
                <w:szCs w:val="21"/>
                <w:highlight w:val="none"/>
              </w:rPr>
              <w:t>需提供合同首页、</w:t>
            </w:r>
            <w:r>
              <w:rPr>
                <w:rFonts w:hint="eastAsia" w:ascii="宋体" w:hAnsi="宋体"/>
                <w:color w:val="000000"/>
                <w:szCs w:val="21"/>
                <w:highlight w:val="none"/>
              </w:rPr>
              <w:t>技术规格页</w:t>
            </w:r>
            <w:r>
              <w:rPr>
                <w:rFonts w:ascii="宋体" w:hAnsi="宋体"/>
                <w:color w:val="000000"/>
                <w:szCs w:val="21"/>
                <w:highlight w:val="none"/>
              </w:rPr>
              <w:t>和盖章页的复印件，</w:t>
            </w:r>
            <w:r>
              <w:rPr>
                <w:rFonts w:ascii="宋体" w:hAnsi="宋体"/>
                <w:color w:val="000000"/>
                <w:kern w:val="0"/>
                <w:szCs w:val="21"/>
                <w:highlight w:val="none"/>
              </w:rPr>
              <w:t>且应真实有效（招标方确保该商务秘密不向第三方透露）。此项最高得8分</w:t>
            </w:r>
            <w:r>
              <w:rPr>
                <w:rFonts w:hint="eastAsia" w:ascii="宋体" w:hAnsi="宋体"/>
                <w:color w:val="000000"/>
                <w:kern w:val="0"/>
                <w:szCs w:val="21"/>
                <w:highlight w:val="none"/>
              </w:rPr>
              <w:t>，</w:t>
            </w:r>
            <w:r>
              <w:rPr>
                <w:rFonts w:ascii="宋体" w:hAnsi="宋体"/>
                <w:color w:val="000000"/>
                <w:kern w:val="0"/>
                <w:szCs w:val="21"/>
                <w:highlight w:val="none"/>
              </w:rPr>
              <w:t xml:space="preserve">其中： </w:t>
            </w:r>
          </w:p>
          <w:p>
            <w:pPr>
              <w:rPr>
                <w:rFonts w:ascii="宋体" w:hAnsi="宋体"/>
                <w:color w:val="000000"/>
                <w:kern w:val="0"/>
                <w:szCs w:val="21"/>
                <w:highlight w:val="none"/>
              </w:rPr>
            </w:pPr>
            <w:r>
              <w:rPr>
                <w:rFonts w:ascii="宋体" w:hAnsi="宋体"/>
                <w:color w:val="000000"/>
                <w:kern w:val="0"/>
                <w:szCs w:val="21"/>
                <w:highlight w:val="none"/>
              </w:rPr>
              <w:t>1）</w:t>
            </w:r>
            <w:r>
              <w:rPr>
                <w:rFonts w:hint="eastAsia" w:ascii="宋体" w:hAnsi="宋体"/>
                <w:color w:val="000000"/>
                <w:kern w:val="0"/>
                <w:szCs w:val="21"/>
                <w:highlight w:val="none"/>
              </w:rPr>
              <w:t>没有类似业绩的</w:t>
            </w:r>
            <w:r>
              <w:rPr>
                <w:rFonts w:ascii="宋体" w:hAnsi="宋体"/>
                <w:color w:val="000000"/>
                <w:kern w:val="0"/>
                <w:szCs w:val="21"/>
                <w:highlight w:val="none"/>
              </w:rPr>
              <w:t>不得分</w:t>
            </w:r>
            <w:r>
              <w:rPr>
                <w:rFonts w:hint="eastAsia" w:ascii="宋体" w:hAnsi="宋体"/>
                <w:color w:val="000000"/>
                <w:kern w:val="0"/>
                <w:szCs w:val="21"/>
                <w:highlight w:val="none"/>
              </w:rPr>
              <w:t>；</w:t>
            </w:r>
            <w:r>
              <w:rPr>
                <w:rFonts w:ascii="宋体" w:hAnsi="宋体"/>
                <w:color w:val="000000"/>
                <w:kern w:val="0"/>
                <w:szCs w:val="21"/>
                <w:highlight w:val="none"/>
              </w:rPr>
              <w:t xml:space="preserve"> </w:t>
            </w:r>
          </w:p>
          <w:p>
            <w:pPr>
              <w:rPr>
                <w:rFonts w:ascii="宋体" w:hAnsi="宋体"/>
                <w:color w:val="000000"/>
                <w:kern w:val="0"/>
                <w:szCs w:val="21"/>
                <w:highlight w:val="none"/>
              </w:rPr>
            </w:pPr>
            <w:r>
              <w:rPr>
                <w:rFonts w:ascii="宋体" w:hAnsi="宋体"/>
                <w:color w:val="000000"/>
                <w:kern w:val="0"/>
                <w:szCs w:val="21"/>
                <w:highlight w:val="none"/>
              </w:rPr>
              <w:t>2）业绩需满足下述条件</w:t>
            </w:r>
            <w:r>
              <w:rPr>
                <w:rFonts w:hint="eastAsia" w:ascii="宋体" w:hAnsi="宋体"/>
                <w:color w:val="000000"/>
                <w:kern w:val="0"/>
                <w:szCs w:val="21"/>
                <w:highlight w:val="none"/>
              </w:rPr>
              <w:t>：</w:t>
            </w:r>
          </w:p>
          <w:p>
            <w:pPr>
              <w:rPr>
                <w:rFonts w:ascii="宋体" w:hAnsi="宋体"/>
                <w:kern w:val="0"/>
                <w:szCs w:val="21"/>
                <w:highlight w:val="none"/>
              </w:rPr>
            </w:pPr>
            <w:r>
              <w:rPr>
                <w:rFonts w:hint="eastAsia" w:ascii="宋体" w:hAnsi="宋体"/>
                <w:kern w:val="0"/>
                <w:szCs w:val="21"/>
                <w:highlight w:val="none"/>
              </w:rPr>
              <w:t>①</w:t>
            </w:r>
            <w:r>
              <w:rPr>
                <w:rFonts w:hint="eastAsia" w:ascii="宋体" w:hAnsi="宋体"/>
                <w:color w:val="000000"/>
                <w:kern w:val="0"/>
                <w:szCs w:val="21"/>
                <w:highlight w:val="none"/>
              </w:rPr>
              <w:t>标一</w:t>
            </w:r>
            <w:r>
              <w:rPr>
                <w:rFonts w:hint="eastAsia" w:ascii="宋体"/>
                <w:szCs w:val="22"/>
                <w:highlight w:val="none"/>
              </w:rPr>
              <w:t>（5000kW水源热泵试验台）以</w:t>
            </w:r>
            <w:r>
              <w:rPr>
                <w:rFonts w:ascii="宋体"/>
                <w:szCs w:val="22"/>
                <w:highlight w:val="none"/>
              </w:rPr>
              <w:t>5</w:t>
            </w:r>
            <w:r>
              <w:rPr>
                <w:rFonts w:hint="eastAsia" w:ascii="宋体"/>
                <w:szCs w:val="22"/>
                <w:highlight w:val="none"/>
              </w:rPr>
              <w:t>000kW（含）以上的水冷冷水机组试验台、水源热泵机组试验台为准；</w:t>
            </w:r>
          </w:p>
          <w:p>
            <w:pPr>
              <w:rPr>
                <w:rFonts w:ascii="宋体"/>
                <w:szCs w:val="22"/>
                <w:highlight w:val="none"/>
              </w:rPr>
            </w:pPr>
            <w:r>
              <w:rPr>
                <w:rFonts w:hint="eastAsia" w:ascii="宋体" w:hAnsi="宋体"/>
                <w:kern w:val="0"/>
                <w:szCs w:val="21"/>
                <w:highlight w:val="none"/>
              </w:rPr>
              <w:t>②标二（350kW空气源热泵试验台）</w:t>
            </w:r>
            <w:r>
              <w:rPr>
                <w:rFonts w:hint="eastAsia" w:ascii="宋体"/>
                <w:szCs w:val="22"/>
                <w:highlight w:val="none"/>
              </w:rPr>
              <w:t>以</w:t>
            </w:r>
            <w:r>
              <w:rPr>
                <w:rFonts w:ascii="宋体"/>
                <w:szCs w:val="22"/>
                <w:highlight w:val="none"/>
              </w:rPr>
              <w:t>35</w:t>
            </w:r>
            <w:r>
              <w:rPr>
                <w:rFonts w:hint="eastAsia" w:ascii="宋体"/>
                <w:szCs w:val="22"/>
                <w:highlight w:val="none"/>
              </w:rPr>
              <w:t>0kW（含）以上的空气源热泵机组试验台为准，焓差试验台业绩不能算作类似业绩</w:t>
            </w:r>
          </w:p>
          <w:p>
            <w:pPr>
              <w:rPr>
                <w:rFonts w:ascii="宋体"/>
                <w:szCs w:val="22"/>
                <w:highlight w:val="none"/>
              </w:rPr>
            </w:pPr>
            <w:r>
              <w:rPr>
                <w:rFonts w:hint="eastAsia" w:ascii="宋体"/>
                <w:szCs w:val="22"/>
                <w:highlight w:val="none"/>
              </w:rPr>
              <w:t>③标三（压缩机实验台）以2</w:t>
            </w:r>
            <w:r>
              <w:rPr>
                <w:rFonts w:ascii="宋体"/>
                <w:szCs w:val="22"/>
                <w:highlight w:val="none"/>
              </w:rPr>
              <w:t>00KW</w:t>
            </w:r>
            <w:r>
              <w:rPr>
                <w:rFonts w:hint="eastAsia" w:ascii="宋体"/>
                <w:szCs w:val="22"/>
                <w:highlight w:val="none"/>
              </w:rPr>
              <w:t>（含）以上压缩机实验台为准；</w:t>
            </w:r>
          </w:p>
          <w:p>
            <w:pPr>
              <w:rPr>
                <w:rFonts w:ascii="宋体" w:hAnsi="宋体"/>
                <w:color w:val="000000"/>
                <w:kern w:val="0"/>
                <w:szCs w:val="21"/>
                <w:highlight w:val="none"/>
              </w:rPr>
            </w:pPr>
            <w:r>
              <w:rPr>
                <w:rFonts w:hint="eastAsia" w:ascii="宋体"/>
                <w:szCs w:val="22"/>
                <w:highlight w:val="none"/>
              </w:rPr>
              <w:t>④标四（半消实验室）以做过压缩机或者家电产品类半消室为准。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576" w:type="pct"/>
            <w:vMerge w:val="restart"/>
            <w:tcBorders>
              <w:top w:val="single" w:color="000000" w:sz="6" w:space="0"/>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r>
              <w:rPr>
                <w:rFonts w:ascii="宋体" w:hAnsi="宋体"/>
                <w:color w:val="000000"/>
                <w:szCs w:val="21"/>
                <w:highlight w:val="none"/>
              </w:rPr>
              <w:t>2</w:t>
            </w:r>
          </w:p>
        </w:tc>
        <w:tc>
          <w:tcPr>
            <w:tcW w:w="526" w:type="pct"/>
            <w:vMerge w:val="restart"/>
            <w:tcBorders>
              <w:top w:val="single" w:color="000000" w:sz="6" w:space="0"/>
              <w:left w:val="single" w:color="000000" w:sz="6" w:space="0"/>
              <w:right w:val="single" w:color="000000" w:sz="6" w:space="0"/>
            </w:tcBorders>
            <w:shd w:val="clear" w:color="auto" w:fill="auto"/>
            <w:vAlign w:val="center"/>
          </w:tcPr>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技术</w:t>
            </w:r>
          </w:p>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部分</w:t>
            </w:r>
          </w:p>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评分</w:t>
            </w:r>
          </w:p>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标准</w:t>
            </w:r>
          </w:p>
          <w:p>
            <w:pPr>
              <w:pStyle w:val="78"/>
              <w:spacing w:line="240" w:lineRule="atLeast"/>
              <w:jc w:val="center"/>
              <w:rPr>
                <w:rFonts w:ascii="宋体" w:hAnsi="宋体"/>
                <w:color w:val="000000"/>
                <w:sz w:val="21"/>
                <w:szCs w:val="21"/>
                <w:highlight w:val="none"/>
              </w:rPr>
            </w:pPr>
            <w:r>
              <w:rPr>
                <w:rFonts w:ascii="宋体" w:hAnsi="宋体"/>
                <w:color w:val="000000"/>
                <w:sz w:val="21"/>
                <w:szCs w:val="21"/>
                <w:highlight w:val="none"/>
              </w:rPr>
              <w:t>（</w:t>
            </w:r>
            <w:r>
              <w:rPr>
                <w:rFonts w:hint="eastAsia" w:ascii="宋体" w:hAnsi="宋体"/>
                <w:color w:val="000000"/>
                <w:sz w:val="21"/>
                <w:szCs w:val="21"/>
                <w:highlight w:val="none"/>
              </w:rPr>
              <w:t>4</w:t>
            </w:r>
            <w:r>
              <w:rPr>
                <w:rFonts w:ascii="宋体" w:hAnsi="宋体"/>
                <w:color w:val="000000"/>
                <w:sz w:val="21"/>
                <w:szCs w:val="21"/>
                <w:highlight w:val="none"/>
              </w:rPr>
              <w:t>5分）</w:t>
            </w:r>
          </w:p>
        </w:tc>
        <w:tc>
          <w:tcPr>
            <w:tcW w:w="1062" w:type="pct"/>
            <w:tcBorders>
              <w:top w:val="single" w:color="000000" w:sz="6" w:space="0"/>
              <w:left w:val="single" w:color="000000" w:sz="6" w:space="0"/>
              <w:bottom w:val="single" w:color="auto" w:sz="4" w:space="0"/>
              <w:right w:val="single" w:color="000000" w:sz="6" w:space="0"/>
            </w:tcBorders>
            <w:shd w:val="clear" w:color="auto" w:fill="auto"/>
            <w:vAlign w:val="center"/>
          </w:tcPr>
          <w:p>
            <w:pPr>
              <w:pStyle w:val="77"/>
              <w:widowControl w:val="0"/>
              <w:spacing w:line="360" w:lineRule="auto"/>
              <w:rPr>
                <w:rFonts w:ascii="宋体" w:hAnsi="宋体" w:eastAsia="宋体"/>
                <w:color w:val="000000"/>
                <w:szCs w:val="21"/>
                <w:highlight w:val="none"/>
              </w:rPr>
            </w:pPr>
            <w:r>
              <w:rPr>
                <w:rFonts w:ascii="宋体" w:hAnsi="宋体" w:eastAsia="宋体"/>
                <w:color w:val="000000"/>
                <w:szCs w:val="21"/>
                <w:highlight w:val="none"/>
              </w:rPr>
              <w:t>投标技术资料齐全</w:t>
            </w:r>
          </w:p>
        </w:tc>
        <w:tc>
          <w:tcPr>
            <w:tcW w:w="2836" w:type="pct"/>
            <w:tcBorders>
              <w:top w:val="single" w:color="000000" w:sz="6" w:space="0"/>
              <w:left w:val="single" w:color="000000" w:sz="6" w:space="0"/>
              <w:bottom w:val="single" w:color="auto" w:sz="4" w:space="0"/>
              <w:right w:val="single" w:color="000000" w:sz="6" w:space="0"/>
            </w:tcBorders>
            <w:shd w:val="clear" w:color="auto" w:fill="auto"/>
            <w:vAlign w:val="center"/>
          </w:tcPr>
          <w:p>
            <w:pPr>
              <w:rPr>
                <w:rFonts w:ascii="宋体" w:hAnsi="宋体"/>
                <w:color w:val="000000"/>
                <w:kern w:val="0"/>
                <w:szCs w:val="21"/>
                <w:highlight w:val="none"/>
              </w:rPr>
            </w:pPr>
            <w:r>
              <w:rPr>
                <w:rFonts w:ascii="宋体" w:hAnsi="宋体"/>
                <w:color w:val="000000"/>
                <w:kern w:val="0"/>
                <w:szCs w:val="21"/>
                <w:highlight w:val="none"/>
              </w:rPr>
              <w:t>根据投标方提供的技术资料中是否具备有以下内容进行评分，不具备的内容计零分；</w:t>
            </w:r>
            <w:r>
              <w:rPr>
                <w:rFonts w:hint="eastAsia" w:ascii="宋体" w:hAnsi="宋体"/>
                <w:color w:val="000000"/>
                <w:kern w:val="0"/>
                <w:szCs w:val="21"/>
                <w:highlight w:val="none"/>
              </w:rPr>
              <w:t>本项满分1</w:t>
            </w:r>
            <w:r>
              <w:rPr>
                <w:rFonts w:ascii="宋体" w:hAnsi="宋体"/>
                <w:color w:val="000000"/>
                <w:kern w:val="0"/>
                <w:szCs w:val="21"/>
                <w:highlight w:val="none"/>
              </w:rPr>
              <w:t>0</w:t>
            </w:r>
            <w:r>
              <w:rPr>
                <w:rFonts w:hint="eastAsia" w:ascii="宋体" w:hAnsi="宋体"/>
                <w:color w:val="000000"/>
                <w:kern w:val="0"/>
                <w:szCs w:val="21"/>
                <w:highlight w:val="none"/>
              </w:rPr>
              <w:t>分。</w:t>
            </w:r>
          </w:p>
          <w:p>
            <w:pPr>
              <w:rPr>
                <w:rFonts w:ascii="宋体" w:hAnsi="宋体"/>
                <w:color w:val="000000"/>
                <w:kern w:val="0"/>
                <w:szCs w:val="21"/>
                <w:highlight w:val="none"/>
              </w:rPr>
            </w:pPr>
            <w:r>
              <w:rPr>
                <w:rFonts w:ascii="宋体" w:hAnsi="宋体"/>
                <w:color w:val="000000"/>
                <w:kern w:val="0"/>
                <w:szCs w:val="21"/>
                <w:highlight w:val="none"/>
              </w:rPr>
              <w:t>1）系统总体设计方案；</w:t>
            </w:r>
          </w:p>
          <w:p>
            <w:pPr>
              <w:rPr>
                <w:rFonts w:ascii="宋体" w:hAnsi="宋体"/>
                <w:color w:val="000000"/>
                <w:kern w:val="0"/>
                <w:szCs w:val="21"/>
                <w:highlight w:val="none"/>
              </w:rPr>
            </w:pPr>
            <w:r>
              <w:rPr>
                <w:rFonts w:ascii="宋体" w:hAnsi="宋体"/>
                <w:color w:val="000000"/>
                <w:kern w:val="0"/>
                <w:szCs w:val="21"/>
                <w:highlight w:val="none"/>
              </w:rPr>
              <w:t>2）系统主要设备配置方案；</w:t>
            </w:r>
          </w:p>
          <w:p>
            <w:pPr>
              <w:rPr>
                <w:rFonts w:ascii="宋体" w:hAnsi="宋体"/>
                <w:color w:val="000000"/>
                <w:kern w:val="0"/>
                <w:szCs w:val="21"/>
                <w:highlight w:val="none"/>
              </w:rPr>
            </w:pPr>
            <w:r>
              <w:rPr>
                <w:rFonts w:ascii="宋体" w:hAnsi="宋体"/>
                <w:color w:val="000000"/>
                <w:kern w:val="0"/>
                <w:szCs w:val="21"/>
                <w:highlight w:val="none"/>
              </w:rPr>
              <w:t>3）设备及材料明细表</w:t>
            </w:r>
            <w:r>
              <w:rPr>
                <w:rFonts w:hint="eastAsia" w:ascii="宋体" w:hAnsi="宋体"/>
                <w:color w:val="000000"/>
                <w:kern w:val="0"/>
                <w:szCs w:val="21"/>
                <w:highlight w:val="none"/>
              </w:rPr>
              <w:t>；</w:t>
            </w:r>
          </w:p>
          <w:p>
            <w:pPr>
              <w:rPr>
                <w:rFonts w:ascii="宋体" w:hAnsi="宋体"/>
                <w:color w:val="000000"/>
                <w:kern w:val="0"/>
                <w:szCs w:val="21"/>
                <w:highlight w:val="none"/>
              </w:rPr>
            </w:pPr>
            <w:r>
              <w:rPr>
                <w:rFonts w:ascii="宋体" w:hAnsi="宋体"/>
                <w:color w:val="000000"/>
                <w:kern w:val="0"/>
                <w:szCs w:val="21"/>
                <w:highlight w:val="none"/>
              </w:rPr>
              <w:t>4）</w:t>
            </w:r>
            <w:r>
              <w:rPr>
                <w:rFonts w:hint="eastAsia" w:ascii="宋体" w:hAnsi="宋体"/>
                <w:color w:val="000000"/>
                <w:kern w:val="0"/>
                <w:szCs w:val="21"/>
                <w:highlight w:val="none"/>
              </w:rPr>
              <w:t>仪器仪表配置合理、精度满足产品标准要求；</w:t>
            </w:r>
          </w:p>
          <w:p>
            <w:pPr>
              <w:rPr>
                <w:rFonts w:ascii="宋体" w:hAnsi="宋体"/>
                <w:color w:val="000000"/>
                <w:kern w:val="0"/>
                <w:szCs w:val="21"/>
                <w:highlight w:val="none"/>
              </w:rPr>
            </w:pPr>
            <w:r>
              <w:rPr>
                <w:rFonts w:hint="eastAsia" w:ascii="宋体" w:hAnsi="宋体"/>
                <w:color w:val="000000"/>
                <w:kern w:val="0"/>
                <w:szCs w:val="21"/>
                <w:highlight w:val="none"/>
              </w:rPr>
              <w:t>5</w:t>
            </w:r>
            <w:r>
              <w:rPr>
                <w:rFonts w:ascii="宋体" w:hAnsi="宋体"/>
                <w:color w:val="000000"/>
                <w:kern w:val="0"/>
                <w:szCs w:val="21"/>
                <w:highlight w:val="none"/>
              </w:rPr>
              <w:t>）系统原理图</w:t>
            </w:r>
            <w:r>
              <w:rPr>
                <w:rFonts w:hint="eastAsia" w:ascii="宋体" w:hAnsi="宋体"/>
                <w:color w:val="000000"/>
                <w:kern w:val="0"/>
                <w:szCs w:val="21"/>
                <w:highlight w:val="none"/>
              </w:rPr>
              <w:t>、</w:t>
            </w:r>
            <w:r>
              <w:rPr>
                <w:rFonts w:ascii="宋体" w:hAnsi="宋体"/>
                <w:color w:val="000000"/>
                <w:kern w:val="0"/>
                <w:szCs w:val="21"/>
                <w:highlight w:val="none"/>
              </w:rPr>
              <w:t>平面</w:t>
            </w:r>
            <w:r>
              <w:rPr>
                <w:rFonts w:hint="eastAsia" w:ascii="宋体" w:hAnsi="宋体"/>
                <w:color w:val="000000"/>
                <w:kern w:val="0"/>
                <w:szCs w:val="21"/>
                <w:highlight w:val="none"/>
              </w:rPr>
              <w:t>/三维</w:t>
            </w:r>
            <w:r>
              <w:rPr>
                <w:rFonts w:ascii="宋体" w:hAnsi="宋体"/>
                <w:color w:val="000000"/>
                <w:kern w:val="0"/>
                <w:szCs w:val="21"/>
                <w:highlight w:val="none"/>
              </w:rPr>
              <w:t>布置图</w:t>
            </w:r>
            <w:r>
              <w:rPr>
                <w:rFonts w:hint="eastAsia" w:ascii="宋体" w:hAnsi="宋体"/>
                <w:color w:val="000000"/>
                <w:kern w:val="0"/>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1" w:hRule="atLeast"/>
        </w:trPr>
        <w:tc>
          <w:tcPr>
            <w:tcW w:w="576" w:type="pct"/>
            <w:vMerge w:val="continue"/>
            <w:tcBorders>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p>
        </w:tc>
        <w:tc>
          <w:tcPr>
            <w:tcW w:w="526" w:type="pct"/>
            <w:vMerge w:val="continue"/>
            <w:tcBorders>
              <w:left w:val="single" w:color="000000" w:sz="6" w:space="0"/>
              <w:right w:val="single" w:color="000000" w:sz="6" w:space="0"/>
            </w:tcBorders>
            <w:shd w:val="clear" w:color="auto" w:fill="auto"/>
            <w:vAlign w:val="center"/>
          </w:tcPr>
          <w:p>
            <w:pPr>
              <w:pStyle w:val="78"/>
              <w:spacing w:line="240" w:lineRule="atLeast"/>
              <w:jc w:val="center"/>
              <w:rPr>
                <w:rFonts w:ascii="宋体" w:hAnsi="宋体"/>
                <w:color w:val="000000"/>
                <w:sz w:val="21"/>
                <w:szCs w:val="21"/>
                <w:highlight w:val="none"/>
              </w:rPr>
            </w:pPr>
          </w:p>
        </w:tc>
        <w:tc>
          <w:tcPr>
            <w:tcW w:w="1062" w:type="pct"/>
            <w:tcBorders>
              <w:top w:val="single" w:color="000000" w:sz="6" w:space="0"/>
              <w:left w:val="single" w:color="000000" w:sz="6" w:space="0"/>
              <w:bottom w:val="single" w:color="auto" w:sz="4" w:space="0"/>
              <w:right w:val="single" w:color="000000" w:sz="6" w:space="0"/>
            </w:tcBorders>
            <w:shd w:val="clear" w:color="auto" w:fill="auto"/>
            <w:vAlign w:val="center"/>
          </w:tcPr>
          <w:p>
            <w:pPr>
              <w:pStyle w:val="77"/>
              <w:widowControl w:val="0"/>
              <w:spacing w:line="360" w:lineRule="auto"/>
              <w:rPr>
                <w:rFonts w:ascii="宋体" w:hAnsi="宋体" w:eastAsia="宋体"/>
                <w:color w:val="000000"/>
                <w:szCs w:val="21"/>
                <w:highlight w:val="none"/>
              </w:rPr>
            </w:pPr>
            <w:r>
              <w:rPr>
                <w:rFonts w:hint="eastAsia" w:ascii="宋体" w:hAnsi="宋体" w:eastAsia="宋体"/>
                <w:color w:val="000000"/>
                <w:szCs w:val="21"/>
                <w:highlight w:val="none"/>
              </w:rPr>
              <w:t>投标文件响应性</w:t>
            </w:r>
          </w:p>
        </w:tc>
        <w:tc>
          <w:tcPr>
            <w:tcW w:w="2836" w:type="pct"/>
            <w:tcBorders>
              <w:top w:val="single" w:color="000000" w:sz="6" w:space="0"/>
              <w:left w:val="single" w:color="000000" w:sz="6" w:space="0"/>
              <w:bottom w:val="single" w:color="auto" w:sz="4" w:space="0"/>
              <w:right w:val="single" w:color="000000" w:sz="6" w:space="0"/>
            </w:tcBorders>
            <w:shd w:val="clear" w:color="auto" w:fill="auto"/>
            <w:vAlign w:val="center"/>
          </w:tcPr>
          <w:p>
            <w:pPr>
              <w:rPr>
                <w:color w:val="000000"/>
                <w:szCs w:val="21"/>
                <w:highlight w:val="none"/>
              </w:rPr>
            </w:pPr>
            <w:r>
              <w:rPr>
                <w:rFonts w:hint="eastAsia" w:ascii="宋体" w:hAnsi="宋体"/>
                <w:color w:val="000000"/>
                <w:kern w:val="0"/>
                <w:szCs w:val="21"/>
                <w:highlight w:val="none"/>
              </w:rPr>
              <w:t>对招标文件中功能要求、技术要求的响应程度。不响应扣分，最低</w:t>
            </w:r>
            <w:r>
              <w:rPr>
                <w:rFonts w:ascii="宋体" w:hAnsi="宋体"/>
                <w:color w:val="000000"/>
                <w:kern w:val="0"/>
                <w:szCs w:val="21"/>
                <w:highlight w:val="none"/>
              </w:rPr>
              <w:t>0</w:t>
            </w:r>
            <w:r>
              <w:rPr>
                <w:rFonts w:hint="eastAsia" w:ascii="宋体" w:hAnsi="宋体"/>
                <w:color w:val="000000"/>
                <w:kern w:val="0"/>
                <w:szCs w:val="21"/>
                <w:highlight w:val="none"/>
              </w:rPr>
              <w:t>分；总得分不超过</w:t>
            </w:r>
            <w:r>
              <w:rPr>
                <w:rFonts w:ascii="宋体" w:hAnsi="宋体"/>
                <w:color w:val="000000"/>
                <w:kern w:val="0"/>
                <w:szCs w:val="21"/>
                <w:highlight w:val="none"/>
              </w:rPr>
              <w:t>12</w:t>
            </w:r>
            <w:r>
              <w:rPr>
                <w:rFonts w:hint="eastAsia" w:ascii="宋体" w:hAnsi="宋体"/>
                <w:color w:val="000000"/>
                <w:kern w:val="0"/>
                <w:szCs w:val="21"/>
                <w:highlight w:val="no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trPr>
        <w:tc>
          <w:tcPr>
            <w:tcW w:w="576" w:type="pct"/>
            <w:vMerge w:val="continue"/>
            <w:tcBorders>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p>
        </w:tc>
        <w:tc>
          <w:tcPr>
            <w:tcW w:w="526" w:type="pct"/>
            <w:vMerge w:val="continue"/>
            <w:tcBorders>
              <w:left w:val="single" w:color="000000" w:sz="6" w:space="0"/>
              <w:right w:val="single" w:color="000000" w:sz="6" w:space="0"/>
            </w:tcBorders>
            <w:shd w:val="clear" w:color="auto" w:fill="auto"/>
            <w:vAlign w:val="center"/>
          </w:tcPr>
          <w:p>
            <w:pPr>
              <w:pStyle w:val="78"/>
              <w:spacing w:line="240" w:lineRule="atLeast"/>
              <w:jc w:val="center"/>
              <w:rPr>
                <w:rFonts w:ascii="宋体" w:hAnsi="宋体"/>
                <w:color w:val="000000"/>
                <w:sz w:val="21"/>
                <w:szCs w:val="21"/>
                <w:highlight w:val="none"/>
              </w:rPr>
            </w:pPr>
          </w:p>
        </w:tc>
        <w:tc>
          <w:tcPr>
            <w:tcW w:w="1062" w:type="pct"/>
            <w:tcBorders>
              <w:top w:val="single" w:color="000000" w:sz="6" w:space="0"/>
              <w:left w:val="single" w:color="000000" w:sz="6" w:space="0"/>
              <w:bottom w:val="single" w:color="auto" w:sz="4" w:space="0"/>
              <w:right w:val="single" w:color="000000" w:sz="6" w:space="0"/>
            </w:tcBorders>
            <w:shd w:val="clear" w:color="auto" w:fill="auto"/>
            <w:vAlign w:val="center"/>
          </w:tcPr>
          <w:p>
            <w:pPr>
              <w:pStyle w:val="77"/>
              <w:widowControl w:val="0"/>
              <w:spacing w:line="360" w:lineRule="auto"/>
              <w:rPr>
                <w:rFonts w:ascii="宋体" w:hAnsi="宋体" w:eastAsia="宋体"/>
                <w:color w:val="000000"/>
                <w:szCs w:val="21"/>
                <w:highlight w:val="none"/>
              </w:rPr>
            </w:pPr>
            <w:r>
              <w:rPr>
                <w:rFonts w:hint="eastAsia" w:ascii="宋体" w:hAnsi="宋体" w:eastAsia="宋体"/>
                <w:color w:val="000000"/>
                <w:szCs w:val="21"/>
                <w:highlight w:val="none"/>
              </w:rPr>
              <w:t>现场施工及管理方案</w:t>
            </w:r>
          </w:p>
        </w:tc>
        <w:tc>
          <w:tcPr>
            <w:tcW w:w="2836" w:type="pct"/>
            <w:tcBorders>
              <w:top w:val="single" w:color="000000" w:sz="6" w:space="0"/>
              <w:left w:val="single" w:color="000000" w:sz="6" w:space="0"/>
              <w:bottom w:val="single" w:color="auto" w:sz="4" w:space="0"/>
              <w:right w:val="single" w:color="000000" w:sz="6" w:space="0"/>
            </w:tcBorders>
            <w:shd w:val="clear" w:color="auto" w:fill="auto"/>
            <w:vAlign w:val="center"/>
          </w:tcPr>
          <w:p>
            <w:pPr>
              <w:rPr>
                <w:color w:val="000000"/>
                <w:szCs w:val="21"/>
                <w:highlight w:val="none"/>
              </w:rPr>
            </w:pPr>
            <w:r>
              <w:rPr>
                <w:color w:val="000000"/>
                <w:szCs w:val="21"/>
                <w:highlight w:val="none"/>
              </w:rPr>
              <w:t>为确保满足</w:t>
            </w:r>
            <w:r>
              <w:rPr>
                <w:rFonts w:hint="eastAsia"/>
                <w:color w:val="000000"/>
                <w:szCs w:val="21"/>
                <w:highlight w:val="none"/>
              </w:rPr>
              <w:t>招标项目</w:t>
            </w:r>
            <w:r>
              <w:rPr>
                <w:color w:val="000000"/>
                <w:szCs w:val="21"/>
                <w:highlight w:val="none"/>
              </w:rPr>
              <w:t>的要求，确保该工程安全、优质高效、按时有效实施，</w:t>
            </w:r>
            <w:r>
              <w:rPr>
                <w:rFonts w:hint="eastAsia"/>
                <w:color w:val="000000"/>
                <w:szCs w:val="21"/>
                <w:highlight w:val="none"/>
              </w:rPr>
              <w:t>投标方应</w:t>
            </w:r>
            <w:r>
              <w:rPr>
                <w:color w:val="000000"/>
                <w:szCs w:val="21"/>
                <w:highlight w:val="none"/>
              </w:rPr>
              <w:t>根据项目特点</w:t>
            </w:r>
            <w:r>
              <w:rPr>
                <w:rFonts w:hint="eastAsia"/>
                <w:color w:val="000000"/>
                <w:szCs w:val="21"/>
                <w:highlight w:val="none"/>
              </w:rPr>
              <w:t>，</w:t>
            </w:r>
            <w:r>
              <w:rPr>
                <w:color w:val="000000"/>
                <w:szCs w:val="21"/>
                <w:highlight w:val="none"/>
              </w:rPr>
              <w:t>编制</w:t>
            </w:r>
            <w:r>
              <w:rPr>
                <w:rFonts w:hint="eastAsia"/>
                <w:color w:val="000000"/>
                <w:szCs w:val="21"/>
                <w:highlight w:val="none"/>
              </w:rPr>
              <w:t>详细的</w:t>
            </w:r>
            <w:r>
              <w:rPr>
                <w:color w:val="000000"/>
                <w:szCs w:val="21"/>
                <w:highlight w:val="none"/>
              </w:rPr>
              <w:t>工程施工组织</w:t>
            </w:r>
            <w:r>
              <w:rPr>
                <w:rFonts w:hint="eastAsia"/>
                <w:color w:val="000000"/>
                <w:szCs w:val="21"/>
                <w:highlight w:val="none"/>
              </w:rPr>
              <w:t>方案</w:t>
            </w:r>
            <w:r>
              <w:rPr>
                <w:color w:val="000000"/>
                <w:szCs w:val="21"/>
                <w:highlight w:val="none"/>
              </w:rPr>
              <w:t>，以指导本工程的</w:t>
            </w:r>
            <w:r>
              <w:rPr>
                <w:rFonts w:hint="eastAsia"/>
                <w:color w:val="000000"/>
                <w:szCs w:val="21"/>
                <w:highlight w:val="none"/>
              </w:rPr>
              <w:t>顺利</w:t>
            </w:r>
            <w:r>
              <w:rPr>
                <w:color w:val="000000"/>
                <w:szCs w:val="21"/>
                <w:highlight w:val="none"/>
              </w:rPr>
              <w:t>实施。</w:t>
            </w:r>
          </w:p>
          <w:p>
            <w:pPr>
              <w:rPr>
                <w:color w:val="000000"/>
                <w:szCs w:val="21"/>
                <w:highlight w:val="none"/>
              </w:rPr>
            </w:pPr>
            <w:r>
              <w:rPr>
                <w:rFonts w:hint="eastAsia"/>
                <w:color w:val="000000"/>
                <w:szCs w:val="21"/>
                <w:highlight w:val="none"/>
              </w:rPr>
              <w:t>本项满分10分。</w:t>
            </w:r>
            <w:r>
              <w:rPr>
                <w:color w:val="000000"/>
                <w:szCs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trPr>
        <w:tc>
          <w:tcPr>
            <w:tcW w:w="576" w:type="pct"/>
            <w:vMerge w:val="continue"/>
            <w:tcBorders>
              <w:left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p>
        </w:tc>
        <w:tc>
          <w:tcPr>
            <w:tcW w:w="526" w:type="pct"/>
            <w:vMerge w:val="continue"/>
            <w:tcBorders>
              <w:left w:val="single" w:color="000000" w:sz="6" w:space="0"/>
              <w:right w:val="single" w:color="000000" w:sz="6" w:space="0"/>
            </w:tcBorders>
            <w:shd w:val="clear" w:color="auto" w:fill="auto"/>
            <w:vAlign w:val="center"/>
          </w:tcPr>
          <w:p>
            <w:pPr>
              <w:pStyle w:val="52"/>
              <w:spacing w:line="240" w:lineRule="atLeast"/>
              <w:jc w:val="center"/>
              <w:rPr>
                <w:rFonts w:cs="Times New Roman"/>
                <w:sz w:val="21"/>
                <w:szCs w:val="21"/>
                <w:highlight w:val="none"/>
              </w:rPr>
            </w:pP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52"/>
              <w:spacing w:line="300" w:lineRule="exact"/>
              <w:jc w:val="center"/>
              <w:rPr>
                <w:rFonts w:cs="Times New Roman"/>
                <w:sz w:val="21"/>
                <w:szCs w:val="21"/>
                <w:highlight w:val="none"/>
              </w:rPr>
            </w:pPr>
            <w:r>
              <w:rPr>
                <w:rFonts w:hint="eastAsia" w:cs="Times New Roman"/>
                <w:sz w:val="21"/>
                <w:szCs w:val="21"/>
                <w:highlight w:val="none"/>
              </w:rPr>
              <w:t>节能措施</w:t>
            </w:r>
          </w:p>
        </w:tc>
        <w:tc>
          <w:tcPr>
            <w:tcW w:w="2836" w:type="pc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jc w:val="left"/>
              <w:rPr>
                <w:rFonts w:ascii="宋体" w:hAnsi="宋体"/>
                <w:color w:val="000000"/>
                <w:highlight w:val="none"/>
              </w:rPr>
            </w:pPr>
            <w:r>
              <w:rPr>
                <w:rFonts w:hint="eastAsia" w:ascii="宋体" w:hAnsi="宋体"/>
                <w:color w:val="000000"/>
                <w:highlight w:val="none"/>
              </w:rPr>
              <w:t>技术方案中应有节能措施，以降低运行能耗。节能方案应有详细介绍</w:t>
            </w:r>
            <w:r>
              <w:rPr>
                <w:rFonts w:hint="eastAsia" w:ascii="宋体" w:hAnsi="宋体" w:cs="Arial"/>
                <w:szCs w:val="21"/>
                <w:highlight w:val="none"/>
                <w:shd w:val="clear" w:color="auto" w:fill="FFFFFF"/>
              </w:rPr>
              <w:t>，</w:t>
            </w:r>
            <w:r>
              <w:rPr>
                <w:rFonts w:hint="eastAsia" w:ascii="宋体" w:hAnsi="宋体"/>
                <w:color w:val="000000"/>
                <w:highlight w:val="none"/>
              </w:rPr>
              <w:t>在原理图中体现。本项满分1</w:t>
            </w:r>
            <w:r>
              <w:rPr>
                <w:rFonts w:ascii="宋体" w:hAnsi="宋体"/>
                <w:color w:val="000000"/>
                <w:highlight w:val="none"/>
              </w:rPr>
              <w:t>0</w:t>
            </w:r>
            <w:r>
              <w:rPr>
                <w:rFonts w:hint="eastAsia" w:ascii="宋体" w:hAnsi="宋体"/>
                <w:color w:val="000000"/>
                <w:highlight w:val="no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trPr>
        <w:tc>
          <w:tcPr>
            <w:tcW w:w="576" w:type="pct"/>
            <w:vMerge w:val="continue"/>
            <w:tcBorders>
              <w:left w:val="single" w:color="000000" w:sz="6" w:space="0"/>
              <w:bottom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p>
        </w:tc>
        <w:tc>
          <w:tcPr>
            <w:tcW w:w="526" w:type="pct"/>
            <w:vMerge w:val="continue"/>
            <w:tcBorders>
              <w:left w:val="single" w:color="000000" w:sz="6" w:space="0"/>
              <w:bottom w:val="single" w:color="000000" w:sz="6" w:space="0"/>
              <w:right w:val="single" w:color="000000" w:sz="6" w:space="0"/>
            </w:tcBorders>
            <w:shd w:val="clear" w:color="auto" w:fill="auto"/>
            <w:vAlign w:val="center"/>
          </w:tcPr>
          <w:p>
            <w:pPr>
              <w:pStyle w:val="52"/>
              <w:spacing w:line="240" w:lineRule="atLeast"/>
              <w:jc w:val="center"/>
              <w:rPr>
                <w:rFonts w:cs="Times New Roman"/>
                <w:sz w:val="21"/>
                <w:szCs w:val="21"/>
                <w:highlight w:val="none"/>
              </w:rPr>
            </w:pPr>
          </w:p>
        </w:tc>
        <w:tc>
          <w:tcPr>
            <w:tcW w:w="1062"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52"/>
              <w:spacing w:line="300" w:lineRule="exact"/>
              <w:jc w:val="center"/>
              <w:rPr>
                <w:rFonts w:cs="Times New Roman"/>
                <w:sz w:val="21"/>
                <w:szCs w:val="21"/>
                <w:highlight w:val="none"/>
              </w:rPr>
            </w:pPr>
            <w:r>
              <w:rPr>
                <w:rFonts w:hint="eastAsia" w:cs="Times New Roman"/>
                <w:sz w:val="21"/>
                <w:szCs w:val="21"/>
                <w:highlight w:val="none"/>
              </w:rPr>
              <w:t>其他技术加分项</w:t>
            </w:r>
          </w:p>
        </w:tc>
        <w:tc>
          <w:tcPr>
            <w:tcW w:w="2836" w:type="pc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jc w:val="left"/>
              <w:rPr>
                <w:rFonts w:ascii="宋体" w:hAnsi="宋体"/>
                <w:color w:val="000000"/>
                <w:highlight w:val="none"/>
              </w:rPr>
            </w:pPr>
            <w:r>
              <w:rPr>
                <w:rFonts w:hint="eastAsia" w:ascii="宋体" w:hAnsi="宋体"/>
                <w:color w:val="000000"/>
                <w:highlight w:val="none"/>
              </w:rPr>
              <w:t>技术方案中评审专家认为具有创造性与特殊性的方案，并且该方案对项目的设计、制造、使用、维护有实际的效果。本项满分3分。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2" w:hRule="atLeast"/>
        </w:trPr>
        <w:tc>
          <w:tcPr>
            <w:tcW w:w="576" w:type="pct"/>
            <w:tcBorders>
              <w:top w:val="single" w:color="auto" w:sz="4" w:space="0"/>
              <w:left w:val="single" w:color="000000" w:sz="6" w:space="0"/>
              <w:bottom w:val="single" w:color="000000" w:sz="6" w:space="0"/>
              <w:right w:val="single" w:color="000000" w:sz="6" w:space="0"/>
            </w:tcBorders>
            <w:shd w:val="clear" w:color="auto" w:fill="auto"/>
            <w:vAlign w:val="center"/>
          </w:tcPr>
          <w:p>
            <w:pPr>
              <w:tabs>
                <w:tab w:val="left" w:pos="360"/>
                <w:tab w:val="left" w:pos="540"/>
              </w:tabs>
              <w:spacing w:line="360" w:lineRule="auto"/>
              <w:jc w:val="center"/>
              <w:rPr>
                <w:rFonts w:ascii="宋体" w:hAnsi="宋体"/>
                <w:color w:val="000000"/>
                <w:szCs w:val="21"/>
                <w:highlight w:val="none"/>
              </w:rPr>
            </w:pPr>
            <w:r>
              <w:rPr>
                <w:rFonts w:ascii="宋体" w:hAnsi="宋体"/>
                <w:color w:val="000000"/>
                <w:szCs w:val="21"/>
                <w:highlight w:val="none"/>
              </w:rPr>
              <w:t>3</w:t>
            </w:r>
          </w:p>
        </w:tc>
        <w:tc>
          <w:tcPr>
            <w:tcW w:w="526" w:type="pct"/>
            <w:tcBorders>
              <w:top w:val="single" w:color="auto" w:sz="4"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宋体" w:hAnsi="宋体"/>
                <w:color w:val="000000"/>
                <w:szCs w:val="21"/>
                <w:highlight w:val="none"/>
              </w:rPr>
            </w:pPr>
            <w:r>
              <w:rPr>
                <w:rFonts w:ascii="宋体" w:hAnsi="宋体"/>
                <w:color w:val="000000"/>
                <w:szCs w:val="21"/>
                <w:highlight w:val="none"/>
              </w:rPr>
              <w:t>供货期及售后服务承诺</w:t>
            </w:r>
          </w:p>
        </w:tc>
        <w:tc>
          <w:tcPr>
            <w:tcW w:w="1062" w:type="pct"/>
            <w:tcBorders>
              <w:top w:val="single" w:color="auto" w:sz="4" w:space="0"/>
              <w:left w:val="single" w:color="000000" w:sz="6" w:space="0"/>
              <w:bottom w:val="single" w:color="000000" w:sz="6" w:space="0"/>
              <w:right w:val="single" w:color="000000" w:sz="6" w:space="0"/>
            </w:tcBorders>
            <w:shd w:val="clear" w:color="auto" w:fill="auto"/>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5</w:t>
            </w:r>
            <w:r>
              <w:rPr>
                <w:rFonts w:ascii="宋体" w:hAnsi="宋体"/>
                <w:color w:val="000000"/>
                <w:szCs w:val="21"/>
                <w:highlight w:val="none"/>
              </w:rPr>
              <w:t>分</w:t>
            </w:r>
          </w:p>
        </w:tc>
        <w:tc>
          <w:tcPr>
            <w:tcW w:w="2836" w:type="pct"/>
            <w:tcBorders>
              <w:top w:val="single" w:color="auto" w:sz="4" w:space="0"/>
              <w:left w:val="single" w:color="000000" w:sz="6" w:space="0"/>
              <w:bottom w:val="single" w:color="000000" w:sz="6" w:space="0"/>
              <w:right w:val="single" w:color="000000" w:sz="6" w:space="0"/>
            </w:tcBorders>
            <w:shd w:val="clear" w:color="auto" w:fill="auto"/>
          </w:tcPr>
          <w:p>
            <w:pPr>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不</w:t>
            </w:r>
            <w:r>
              <w:rPr>
                <w:rFonts w:ascii="宋体" w:hAnsi="宋体"/>
                <w:color w:val="000000"/>
                <w:szCs w:val="21"/>
                <w:highlight w:val="none"/>
              </w:rPr>
              <w:t>满足招标方工期要求者不得分。</w:t>
            </w:r>
          </w:p>
          <w:p>
            <w:pPr>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无法提供</w:t>
            </w:r>
            <w:r>
              <w:rPr>
                <w:rFonts w:ascii="宋体" w:hAnsi="宋体"/>
                <w:color w:val="000000"/>
                <w:szCs w:val="21"/>
                <w:highlight w:val="none"/>
              </w:rPr>
              <w:t>针对本项目提供详细、合理的售后服务计划</w:t>
            </w:r>
            <w:r>
              <w:rPr>
                <w:rFonts w:hint="eastAsia" w:ascii="宋体" w:hAnsi="宋体"/>
                <w:color w:val="000000"/>
                <w:szCs w:val="21"/>
                <w:highlight w:val="none"/>
              </w:rPr>
              <w:t>的</w:t>
            </w:r>
            <w:r>
              <w:rPr>
                <w:rFonts w:ascii="宋体" w:hAnsi="宋体"/>
                <w:color w:val="000000"/>
                <w:szCs w:val="21"/>
                <w:highlight w:val="none"/>
              </w:rPr>
              <w:t>不得分；</w:t>
            </w:r>
          </w:p>
          <w:p>
            <w:pPr>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质量保证期不低于1年，低于1年不得分。</w:t>
            </w:r>
          </w:p>
          <w:p>
            <w:pPr>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无</w:t>
            </w:r>
            <w:r>
              <w:rPr>
                <w:rFonts w:ascii="宋体" w:hAnsi="宋体"/>
                <w:color w:val="000000"/>
                <w:szCs w:val="21"/>
                <w:highlight w:val="none"/>
              </w:rPr>
              <w:t>质保期外服务承诺不得分。</w:t>
            </w:r>
            <w:r>
              <w:rPr>
                <w:rFonts w:hint="eastAsia" w:ascii="宋体" w:hAnsi="宋体"/>
                <w:color w:val="000000"/>
                <w:szCs w:val="21"/>
                <w:highlight w:val="none"/>
              </w:rPr>
              <w:t xml:space="preserve"> </w:t>
            </w:r>
          </w:p>
        </w:tc>
      </w:tr>
    </w:tbl>
    <w:p>
      <w:pPr>
        <w:rPr>
          <w:rFonts w:ascii="宋体" w:hAnsi="宋体" w:eastAsia="宋体" w:cs="宋体"/>
          <w:szCs w:val="21"/>
          <w:highlight w:val="none"/>
        </w:rPr>
      </w:pPr>
    </w:p>
    <w:p>
      <w:pPr>
        <w:wordWrap w:val="0"/>
        <w:ind w:right="480"/>
        <w:rPr>
          <w:rFonts w:ascii="黑体" w:hAnsi="黑体" w:eastAsia="黑体"/>
          <w:sz w:val="28"/>
          <w:szCs w:val="28"/>
          <w:highlight w:val="none"/>
        </w:rPr>
      </w:pPr>
      <w:r>
        <w:rPr>
          <w:rFonts w:hint="eastAsia" w:ascii="黑体" w:hAnsi="黑体" w:eastAsia="黑体"/>
          <w:szCs w:val="28"/>
          <w:highlight w:val="none"/>
        </w:rPr>
        <w:t>注：小于等于</w:t>
      </w:r>
      <w:r>
        <w:rPr>
          <w:rFonts w:hint="eastAsia" w:ascii="黑体" w:hAnsi="黑体" w:eastAsia="黑体"/>
          <w:szCs w:val="28"/>
          <w:highlight w:val="none"/>
          <w:lang w:val="en-US" w:eastAsia="zh-CN"/>
        </w:rPr>
        <w:t>36</w:t>
      </w:r>
      <w:r>
        <w:rPr>
          <w:rFonts w:hint="eastAsia" w:ascii="黑体" w:hAnsi="黑体" w:eastAsia="黑体"/>
          <w:szCs w:val="28"/>
          <w:highlight w:val="none"/>
        </w:rPr>
        <w:t>分定义为不合格</w:t>
      </w:r>
    </w:p>
    <w:p>
      <w:pPr>
        <w:pStyle w:val="7"/>
        <w:ind w:firstLine="422" w:firstLineChars="200"/>
        <w:rPr>
          <w:rFonts w:ascii="宋体" w:hAnsi="宋体" w:cs="宋体"/>
          <w:sz w:val="21"/>
          <w:szCs w:val="21"/>
          <w:highlight w:val="none"/>
        </w:rPr>
      </w:pPr>
      <w:r>
        <w:rPr>
          <w:rFonts w:hint="eastAsia" w:ascii="宋体" w:hAnsi="宋体" w:cs="宋体"/>
          <w:b/>
          <w:bCs/>
          <w:sz w:val="21"/>
          <w:szCs w:val="21"/>
          <w:highlight w:val="none"/>
        </w:rPr>
        <w:t xml:space="preserve"> </w:t>
      </w:r>
      <w:r>
        <w:rPr>
          <w:rFonts w:hint="eastAsia" w:ascii="宋体" w:hAnsi="宋体" w:cs="宋体"/>
          <w:sz w:val="21"/>
          <w:szCs w:val="21"/>
          <w:highlight w:val="none"/>
        </w:rPr>
        <w:t>定标原则，技术标评分合格供方进入商务标评分环节，由技术标与商务标结果加权评分得出最终结果，其中技术标占比60%，商务标占比40%；根据结果排名，确认综合排名 。</w:t>
      </w:r>
    </w:p>
    <w:p>
      <w:pPr>
        <w:rPr>
          <w:highlight w:val="none"/>
        </w:rPr>
      </w:pPr>
    </w:p>
    <w:p>
      <w:pPr>
        <w:pStyle w:val="4"/>
        <w:rPr>
          <w:highlight w:val="none"/>
        </w:rPr>
      </w:pPr>
      <w:bookmarkStart w:id="27" w:name="_Toc19301"/>
      <w:r>
        <w:rPr>
          <w:rFonts w:hint="eastAsia"/>
          <w:highlight w:val="none"/>
        </w:rPr>
        <w:t>九、授予合同</w:t>
      </w:r>
      <w:bookmarkEnd w:id="27"/>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(一)中标</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1、确定中标单位后，招标人向中标单位发出中标通知书，并同时将结果通知所有未中标的投标人，中标通知书将成为合同的组成部分。</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中标单位收到中标通知书后，应于7日内与招标人签订施工合同。中标单位不与招标人订立合同的，投标保证金不予退还并取消其中标资格，给招标人造成的损失超过投标保证金数额的，应当对超过部分予以赔偿。</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(二)合同签订</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招标人与中标单位将根据《中华人民共和国民法典》的规定，依据招标文件和投标文件签订施工合同。</w:t>
      </w:r>
    </w:p>
    <w:p>
      <w:pPr>
        <w:pStyle w:val="17"/>
        <w:spacing w:line="360" w:lineRule="auto"/>
        <w:rPr>
          <w:rFonts w:ascii="黑体" w:hAnsi="黑体" w:eastAsia="黑体" w:cs="黑体"/>
          <w:b/>
          <w:bCs/>
          <w:kern w:val="2"/>
          <w:highlight w:val="none"/>
        </w:rPr>
      </w:pPr>
      <w:r>
        <w:rPr>
          <w:rFonts w:hint="eastAsia" w:ascii="黑体" w:hAnsi="黑体" w:eastAsia="黑体" w:cs="黑体"/>
          <w:b/>
          <w:bCs/>
          <w:kern w:val="2"/>
          <w:highlight w:val="none"/>
        </w:rPr>
        <w:t>十、项目技术要求</w:t>
      </w:r>
    </w:p>
    <w:p>
      <w:pPr>
        <w:jc w:val="center"/>
        <w:rPr>
          <w:rFonts w:ascii="Times New Roman" w:cs="Times New Roman"/>
          <w:b/>
          <w:bCs/>
          <w:sz w:val="36"/>
          <w:szCs w:val="36"/>
          <w:highlight w:val="none"/>
        </w:rPr>
      </w:pPr>
      <w:bookmarkStart w:id="28" w:name="_Toc122947259"/>
      <w:bookmarkStart w:id="29" w:name="_Toc85199311"/>
      <w:r>
        <w:rPr>
          <w:rFonts w:ascii="Times New Roman" w:hAnsi="Times New Roman" w:cs="Times New Roman"/>
          <w:b/>
          <w:bCs/>
          <w:szCs w:val="21"/>
          <w:highlight w:val="none"/>
        </w:rPr>
        <w:t>350kW</w:t>
      </w:r>
      <w:r>
        <w:rPr>
          <w:rFonts w:hint="eastAsia" w:ascii="Times New Roman" w:hAnsi="Times New Roman" w:cs="Times New Roman"/>
          <w:b/>
          <w:bCs/>
          <w:szCs w:val="21"/>
          <w:highlight w:val="none"/>
        </w:rPr>
        <w:t>空气源</w:t>
      </w:r>
      <w:r>
        <w:rPr>
          <w:rFonts w:hint="eastAsia" w:ascii="Times New Roman" w:cs="Times New Roman"/>
          <w:b/>
          <w:bCs/>
          <w:szCs w:val="21"/>
          <w:highlight w:val="none"/>
        </w:rPr>
        <w:t>热泵性能实验室</w:t>
      </w:r>
      <w:r>
        <w:rPr>
          <w:rFonts w:ascii="Times New Roman" w:cs="Times New Roman"/>
          <w:b/>
          <w:bCs/>
          <w:szCs w:val="21"/>
          <w:highlight w:val="none"/>
        </w:rPr>
        <w:t>技术</w:t>
      </w:r>
      <w:r>
        <w:rPr>
          <w:rFonts w:hint="eastAsia" w:ascii="Times New Roman" w:cs="Times New Roman"/>
          <w:b/>
          <w:bCs/>
          <w:szCs w:val="21"/>
          <w:highlight w:val="none"/>
        </w:rPr>
        <w:t>要求</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一）概述</w:t>
      </w:r>
      <w:r>
        <w:rPr>
          <w:rFonts w:hint="eastAsia" w:asciiTheme="minorEastAsia" w:hAnsiTheme="minorEastAsia" w:cstheme="minorEastAsia"/>
          <w:b/>
          <w:bCs/>
          <w:szCs w:val="21"/>
          <w:highlight w:val="none"/>
        </w:rPr>
        <w:tab/>
      </w:r>
    </w:p>
    <w:p>
      <w:pPr>
        <w:spacing w:before="93" w:beforeLines="30" w:after="93" w:afterLines="30" w:line="400" w:lineRule="exact"/>
        <w:ind w:left="720"/>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该要求旨在确定350kW空气源热泵性能实验室的部分技术要求。</w:t>
      </w:r>
    </w:p>
    <w:p>
      <w:pPr>
        <w:spacing w:before="93" w:beforeLines="30" w:after="93" w:afterLines="30" w:line="400" w:lineRule="exact"/>
        <w:ind w:left="720"/>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该要求仅确定了该热泵的技术参数，实验室建设标准和测试方法等按照国家相关标准和要求进行。</w:t>
      </w:r>
    </w:p>
    <w:p>
      <w:pPr>
        <w:spacing w:before="93" w:beforeLines="30" w:after="93" w:afterLines="30" w:line="400" w:lineRule="exact"/>
        <w:ind w:left="720"/>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项目工程内容包括实验室设计、制造、安装、调试和培训等工作。</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二）测试内容及范围</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2.1测试机型：</w:t>
      </w:r>
    </w:p>
    <w:p>
      <w:pPr>
        <w:spacing w:line="360" w:lineRule="auto"/>
        <w:ind w:left="420"/>
        <w:rPr>
          <w:rFonts w:asciiTheme="minorEastAsia" w:hAnsiTheme="minorEastAsia" w:cstheme="minorEastAsia"/>
          <w:szCs w:val="21"/>
          <w:highlight w:val="none"/>
        </w:rPr>
      </w:pPr>
      <w:r>
        <w:rPr>
          <w:rFonts w:hint="eastAsia" w:asciiTheme="minorEastAsia" w:hAnsiTheme="minorEastAsia" w:cstheme="minorEastAsia"/>
          <w:szCs w:val="21"/>
          <w:highlight w:val="none"/>
        </w:rPr>
        <w:t>空气源热泵机组</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2.2测量范围及要求：</w:t>
      </w:r>
    </w:p>
    <w:tbl>
      <w:tblPr>
        <w:tblStyle w:val="20"/>
        <w:tblW w:w="825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空气源热泵机组型号标准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额定制热量</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50-240kW（Td=-12℃、Tw=-13.5℃）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功率</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＜150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风机风量</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≦100000 m</w:t>
            </w:r>
            <w:r>
              <w:rPr>
                <w:rFonts w:hint="eastAsia" w:asciiTheme="minorEastAsia" w:hAnsiTheme="minorEastAsia" w:cstheme="minorEastAsia"/>
                <w:szCs w:val="21"/>
                <w:highlight w:val="none"/>
                <w:vertAlign w:val="superscript"/>
              </w:rPr>
              <w:t>3</w:t>
            </w:r>
            <w:r>
              <w:rPr>
                <w:rFonts w:hint="eastAsia" w:asciiTheme="minorEastAsia" w:hAnsiTheme="minorEastAsia" w:cstheme="minorEastAsia"/>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制热水流量</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5-80 m</w:t>
            </w:r>
            <w:r>
              <w:rPr>
                <w:rFonts w:hint="eastAsia" w:asciiTheme="minorEastAsia" w:hAnsiTheme="minorEastAsia" w:cstheme="minorEastAsia"/>
                <w:szCs w:val="21"/>
                <w:highlight w:val="none"/>
                <w:vertAlign w:val="superscript"/>
              </w:rPr>
              <w:t>3</w:t>
            </w:r>
            <w:r>
              <w:rPr>
                <w:rFonts w:hint="eastAsia" w:asciiTheme="minorEastAsia" w:hAnsiTheme="minorEastAsia" w:cstheme="minorEastAsia"/>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样机最大</w:t>
            </w:r>
          </w:p>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尺寸L*W*H</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3m*2.8m*2.8m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运行环温</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出水温度</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水阻力</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99"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制冷剂</w:t>
            </w:r>
          </w:p>
        </w:tc>
        <w:tc>
          <w:tcPr>
            <w:tcW w:w="6451" w:type="dxa"/>
            <w:vAlign w:val="center"/>
          </w:tcPr>
          <w:p>
            <w:pPr>
              <w:widowControl/>
              <w:adjustRightInd w:val="0"/>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R134A/R410A/R32/R407C</w:t>
            </w:r>
          </w:p>
        </w:tc>
      </w:tr>
    </w:tbl>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备注：</w:t>
      </w:r>
    </w:p>
    <w:p>
      <w:pPr>
        <w:numPr>
          <w:ilvl w:val="0"/>
          <w:numId w:val="4"/>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上表中所有参数为被测机在标准名义制热工况条件下可运行和测试的最小值和最大值；被试机水流量满足名义制热量水流量要求。</w:t>
      </w:r>
    </w:p>
    <w:p>
      <w:pPr>
        <w:numPr>
          <w:ilvl w:val="0"/>
          <w:numId w:val="4"/>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水流量按标准规定名义工况时的温度/流量条件设计，系统依据流量有效测试范围设计为准。</w:t>
      </w:r>
    </w:p>
    <w:p>
      <w:pPr>
        <w:numPr>
          <w:ilvl w:val="0"/>
          <w:numId w:val="4"/>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被试机组最大排风量</w:t>
      </w:r>
      <w:r>
        <w:rPr>
          <w:rFonts w:hint="eastAsia" w:asciiTheme="minorEastAsia" w:hAnsiTheme="minorEastAsia" w:cstheme="minorEastAsia"/>
          <w:szCs w:val="21"/>
          <w:highlight w:val="none"/>
          <w:u w:val="single"/>
        </w:rPr>
        <w:t>100000</w:t>
      </w:r>
      <w:r>
        <w:rPr>
          <w:rFonts w:hint="eastAsia" w:asciiTheme="minorEastAsia" w:hAnsiTheme="minorEastAsia" w:cstheme="minorEastAsia"/>
          <w:szCs w:val="21"/>
          <w:highlight w:val="none"/>
        </w:rPr>
        <w:t>m</w:t>
      </w:r>
      <w:r>
        <w:rPr>
          <w:rFonts w:hint="eastAsia" w:asciiTheme="minorEastAsia" w:hAnsiTheme="minorEastAsia" w:cstheme="minorEastAsia"/>
          <w:szCs w:val="21"/>
          <w:highlight w:val="none"/>
          <w:vertAlign w:val="superscript"/>
        </w:rPr>
        <w:t>3</w:t>
      </w:r>
      <w:r>
        <w:rPr>
          <w:rFonts w:hint="eastAsia" w:asciiTheme="minorEastAsia" w:hAnsiTheme="minorEastAsia" w:cstheme="minorEastAsia"/>
          <w:szCs w:val="21"/>
          <w:highlight w:val="none"/>
        </w:rPr>
        <w:t>/h。</w:t>
      </w:r>
    </w:p>
    <w:p>
      <w:pPr>
        <w:numPr>
          <w:ilvl w:val="0"/>
          <w:numId w:val="4"/>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配置12只压力传感器，量程0~6MPa（A）</w:t>
      </w:r>
    </w:p>
    <w:p>
      <w:pPr>
        <w:numPr>
          <w:ilvl w:val="0"/>
          <w:numId w:val="4"/>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配置40个通道热电偶备用温度。</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2.3依据标准</w:t>
      </w:r>
    </w:p>
    <w:p>
      <w:pPr>
        <w:numPr>
          <w:ilvl w:val="0"/>
          <w:numId w:val="5"/>
        </w:numPr>
        <w:tabs>
          <w:tab w:val="left" w:pos="426"/>
          <w:tab w:val="left" w:pos="1260"/>
        </w:tabs>
        <w:adjustRightInd w:val="0"/>
        <w:snapToGrid w:val="0"/>
        <w:spacing w:line="360" w:lineRule="auto"/>
        <w:ind w:left="0" w:firstLine="0"/>
        <w:rPr>
          <w:rFonts w:asciiTheme="minorEastAsia" w:hAnsiTheme="minorEastAsia" w:cstheme="minorEastAsia"/>
          <w:szCs w:val="21"/>
          <w:highlight w:val="none"/>
        </w:rPr>
      </w:pPr>
      <w:r>
        <w:rPr>
          <w:rFonts w:hint="eastAsia" w:asciiTheme="minorEastAsia" w:hAnsiTheme="minorEastAsia" w:cstheme="minorEastAsia"/>
          <w:szCs w:val="21"/>
          <w:highlight w:val="none"/>
        </w:rPr>
        <w:t>GB/T 10870-2014《蒸汽压缩循环冷水（热泵)机组性能试验方法》；</w:t>
      </w:r>
    </w:p>
    <w:p>
      <w:pPr>
        <w:numPr>
          <w:ilvl w:val="0"/>
          <w:numId w:val="5"/>
        </w:numPr>
        <w:tabs>
          <w:tab w:val="left" w:pos="426"/>
          <w:tab w:val="left" w:pos="1260"/>
        </w:tabs>
        <w:adjustRightInd w:val="0"/>
        <w:snapToGrid w:val="0"/>
        <w:spacing w:line="360" w:lineRule="auto"/>
        <w:ind w:left="0" w:firstLine="0"/>
        <w:rPr>
          <w:rFonts w:asciiTheme="minorEastAsia" w:hAnsiTheme="minorEastAsia" w:cstheme="minorEastAsia"/>
          <w:szCs w:val="21"/>
          <w:highlight w:val="none"/>
        </w:rPr>
      </w:pPr>
      <w:r>
        <w:rPr>
          <w:rFonts w:hint="eastAsia" w:asciiTheme="minorEastAsia" w:hAnsiTheme="minorEastAsia" w:cstheme="minorEastAsia"/>
          <w:szCs w:val="21"/>
          <w:highlight w:val="none"/>
        </w:rPr>
        <w:t>GB/T 18430.1-2007《蒸汽压缩循环冷水（热泵）机组 工商业用及类似用途的冷水（热泵）机组》；</w:t>
      </w:r>
    </w:p>
    <w:p>
      <w:pPr>
        <w:numPr>
          <w:ilvl w:val="0"/>
          <w:numId w:val="5"/>
        </w:numPr>
        <w:tabs>
          <w:tab w:val="left" w:pos="426"/>
          <w:tab w:val="left" w:pos="1260"/>
        </w:tabs>
        <w:adjustRightInd w:val="0"/>
        <w:snapToGrid w:val="0"/>
        <w:spacing w:line="360" w:lineRule="auto"/>
        <w:ind w:left="0" w:firstLine="0"/>
        <w:rPr>
          <w:rFonts w:asciiTheme="minorEastAsia" w:hAnsiTheme="minorEastAsia" w:cstheme="minorEastAsia"/>
          <w:szCs w:val="21"/>
          <w:highlight w:val="none"/>
        </w:rPr>
      </w:pPr>
      <w:r>
        <w:rPr>
          <w:rFonts w:hint="eastAsia" w:asciiTheme="minorEastAsia" w:hAnsiTheme="minorEastAsia" w:cstheme="minorEastAsia"/>
          <w:szCs w:val="21"/>
          <w:highlight w:val="none"/>
        </w:rPr>
        <w:t>GB/T 25127.1-2020《低环境温度空气源热泵(冷水)机组 第1部分：工业或商业用及类似用途的热泵(冷水)机组》；</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2.4测试方法:</w:t>
      </w:r>
    </w:p>
    <w:p>
      <w:pPr>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空气源热泵机组水侧采用液体载冷剂法；室外侧仅提供工况环境。</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2.5测试条件：</w:t>
      </w:r>
    </w:p>
    <w:p>
      <w:pPr>
        <w:numPr>
          <w:ilvl w:val="0"/>
          <w:numId w:val="6"/>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主要测试工况：标准规定的各项工况。</w:t>
      </w:r>
    </w:p>
    <w:p>
      <w:pPr>
        <w:numPr>
          <w:ilvl w:val="0"/>
          <w:numId w:val="6"/>
        </w:num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测试间环境温湿度可控制范围</w:t>
      </w:r>
    </w:p>
    <w:p>
      <w:pPr>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干球温度-40～45℃，相对湿度30～90%（对应关系满足标准要求）；</w:t>
      </w:r>
    </w:p>
    <w:p>
      <w:pPr>
        <w:pStyle w:val="58"/>
        <w:numPr>
          <w:ilvl w:val="0"/>
          <w:numId w:val="7"/>
        </w:numPr>
        <w:spacing w:line="360" w:lineRule="auto"/>
        <w:ind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水侧温范围为35～65℃，水温控制精度满足标准要求。</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2.6测试精度：</w:t>
      </w:r>
    </w:p>
    <w:p>
      <w:pPr>
        <w:spacing w:line="360" w:lineRule="auto"/>
        <w:ind w:left="420"/>
        <w:rPr>
          <w:rFonts w:asciiTheme="minorEastAsia" w:hAnsiTheme="minorEastAsia" w:cstheme="minorEastAsia"/>
          <w:szCs w:val="21"/>
          <w:highlight w:val="none"/>
        </w:rPr>
      </w:pPr>
      <w:r>
        <w:rPr>
          <w:rFonts w:hint="eastAsia" w:asciiTheme="minorEastAsia" w:hAnsiTheme="minorEastAsia" w:cstheme="minorEastAsia"/>
          <w:szCs w:val="21"/>
          <w:highlight w:val="none"/>
        </w:rPr>
        <w:t>名义制冷量一次装机再现性误差（一次装机，三次测量，（每次测量-三次测量平均值）/三次测量平均值）≤1.5%。</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三）实验室技术要求</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3.1 工艺要求</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3.1.1 实验室强弱电走线和线源要求</w:t>
      </w:r>
    </w:p>
    <w:p>
      <w:pPr>
        <w:numPr>
          <w:ilvl w:val="0"/>
          <w:numId w:val="8"/>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实验室的设备、元器件间的电缆和信号线须进行有效隔离处理，采用强弱电强制分开线槽走线，避免相互间的干扰、影响。如压力传感器、铂电阻、热电偶、流量计、压差等信号源须采用专用线槽走线。</w:t>
      </w:r>
    </w:p>
    <w:p>
      <w:pPr>
        <w:numPr>
          <w:ilvl w:val="0"/>
          <w:numId w:val="8"/>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压力传感器、铂电阻、热电偶、流量、压差等信号源通讯采用屏蔽线。</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3.1.2 实验室防腐抗锈设计要求</w:t>
      </w:r>
    </w:p>
    <w:p>
      <w:pPr>
        <w:numPr>
          <w:ilvl w:val="0"/>
          <w:numId w:val="9"/>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bCs/>
          <w:szCs w:val="21"/>
          <w:highlight w:val="none"/>
        </w:rPr>
        <w:t>所有介质为乙二醇溶液的管路采用SUS304不锈钢材质的水管，</w:t>
      </w:r>
      <w:r>
        <w:rPr>
          <w:rFonts w:hint="eastAsia" w:asciiTheme="minorEastAsia" w:hAnsiTheme="minorEastAsia" w:cstheme="minorEastAsia"/>
          <w:szCs w:val="21"/>
          <w:highlight w:val="none"/>
        </w:rPr>
        <w:t>不得使用镀锌管道及配件。输送乙二醇溶液的管道系统，水泵等其它配件选用上必须具有抗腐蚀和耐低温的特性。</w:t>
      </w:r>
    </w:p>
    <w:p>
      <w:pPr>
        <w:numPr>
          <w:ilvl w:val="0"/>
          <w:numId w:val="9"/>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实验室钢架结构、角钢、槽钢支撑等材质的处理须先将铁锈层处理干净，然后再上至少两层的防锈漆和两层的面漆。</w:t>
      </w:r>
    </w:p>
    <w:p>
      <w:pPr>
        <w:numPr>
          <w:ilvl w:val="0"/>
          <w:numId w:val="9"/>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流量计前后、恒温水箱进出水管的对接法兰须相应材质的法兰和不锈钢的螺栓螺母联接，其它联接处采用相应材料的法兰对接，所对接使用的螺杆螺母要求采用相对应的材质。</w:t>
      </w:r>
    </w:p>
    <w:p>
      <w:pPr>
        <w:spacing w:before="93" w:beforeLines="30" w:after="93" w:afterLines="30" w:line="400" w:lineRule="exact"/>
        <w:outlineLvl w:val="2"/>
        <w:rPr>
          <w:rFonts w:asciiTheme="minorEastAsia" w:hAnsiTheme="minorEastAsia" w:cstheme="minorEastAsia"/>
          <w:b/>
          <w:bCs/>
          <w:szCs w:val="21"/>
          <w:highlight w:val="none"/>
        </w:rPr>
      </w:pPr>
      <w:bookmarkStart w:id="30" w:name="_Toc145023922"/>
      <w:r>
        <w:rPr>
          <w:rFonts w:hint="eastAsia" w:asciiTheme="minorEastAsia" w:hAnsiTheme="minorEastAsia" w:cstheme="minorEastAsia"/>
          <w:b/>
          <w:bCs/>
          <w:szCs w:val="21"/>
          <w:highlight w:val="none"/>
        </w:rPr>
        <w:t>3.1.3 水管管路和工艺处理</w:t>
      </w:r>
      <w:bookmarkEnd w:id="30"/>
    </w:p>
    <w:p>
      <w:pPr>
        <w:numPr>
          <w:ilvl w:val="0"/>
          <w:numId w:val="10"/>
        </w:numPr>
        <w:tabs>
          <w:tab w:val="left" w:pos="42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常温水管道：水管管路采用符合国标要求的优质镀锌钢管。DN65以下所有管路采用镀锌钢管丝扣接管，不允许采用焊接。外包保温，保温效果须达到管路水温在5℃时外包不允许有结露滴水现象。</w:t>
      </w:r>
    </w:p>
    <w:p>
      <w:pPr>
        <w:numPr>
          <w:ilvl w:val="0"/>
          <w:numId w:val="10"/>
        </w:numPr>
        <w:tabs>
          <w:tab w:val="left" w:pos="42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乙二醇溶液管道：要求采用耐腐蚀、耐低温型的不锈钢材料，溶液浸泡15年不腐蚀穿透，外包保温，保温效果须达到管路水温在4℃时外包不允许有结露现象。</w:t>
      </w:r>
    </w:p>
    <w:p>
      <w:pPr>
        <w:numPr>
          <w:ilvl w:val="0"/>
          <w:numId w:val="10"/>
        </w:numPr>
        <w:tabs>
          <w:tab w:val="left" w:pos="42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管道布置合理，美观，各支撑构件加工艺良好。</w:t>
      </w:r>
    </w:p>
    <w:p>
      <w:pPr>
        <w:numPr>
          <w:ilvl w:val="0"/>
          <w:numId w:val="10"/>
        </w:numPr>
        <w:tabs>
          <w:tab w:val="left" w:pos="42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保温层外包铝皮。在连接至各法兰、阀门处、仪器处需另行处理方便拆装复原不损坏。</w:t>
      </w:r>
    </w:p>
    <w:p>
      <w:pPr>
        <w:spacing w:before="93" w:beforeLines="30" w:after="93" w:afterLines="30" w:line="400" w:lineRule="exact"/>
        <w:outlineLvl w:val="2"/>
        <w:rPr>
          <w:rFonts w:asciiTheme="minorEastAsia" w:hAnsiTheme="minorEastAsia" w:cstheme="minorEastAsia"/>
          <w:b/>
          <w:bCs/>
          <w:szCs w:val="21"/>
          <w:highlight w:val="none"/>
        </w:rPr>
      </w:pPr>
      <w:bookmarkStart w:id="31" w:name="_Toc145023923"/>
      <w:r>
        <w:rPr>
          <w:rFonts w:hint="eastAsia" w:asciiTheme="minorEastAsia" w:hAnsiTheme="minorEastAsia" w:cstheme="minorEastAsia"/>
          <w:b/>
          <w:bCs/>
          <w:szCs w:val="21"/>
          <w:highlight w:val="none"/>
        </w:rPr>
        <w:t>3.2 系统设备要求</w:t>
      </w:r>
      <w:bookmarkEnd w:id="31"/>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3.2.1 试验间围护结构</w:t>
      </w:r>
    </w:p>
    <w:p>
      <w:pPr>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试验间库体室外侧采用150mm厚/室内侧采用150mm厚的双面彩板及阻燃式的聚氨脂库板及安装附件，至少0.6㎜厚</w:t>
      </w:r>
      <w:r>
        <w:rPr>
          <w:rFonts w:hint="eastAsia" w:asciiTheme="minorEastAsia" w:hAnsiTheme="minorEastAsia" w:cstheme="minorEastAsia"/>
          <w:b/>
          <w:szCs w:val="21"/>
          <w:highlight w:val="none"/>
        </w:rPr>
        <w:t>宝钢产象牙白彩钢板</w:t>
      </w:r>
      <w:r>
        <w:rPr>
          <w:rFonts w:hint="eastAsia" w:asciiTheme="minorEastAsia" w:hAnsiTheme="minorEastAsia" w:cstheme="minorEastAsia"/>
          <w:szCs w:val="21"/>
          <w:highlight w:val="none"/>
        </w:rPr>
        <w:t xml:space="preserve">，聚氨脂库板的阻燃测试按GB8624-2006的要求执行，测试结果须符合（B-s3,d0,t2）等级，聚氨脂库板密度≥40kg/m3。 </w:t>
      </w:r>
    </w:p>
    <w:p>
      <w:pPr>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（备注： 试验间地面要求做保温处理，地面保温需做好防水防潮和承重处理。 试验间带有700mm×2000mm单开旋转门和规格为400mm×500mm的双层真空观察窗（共有3个单开旋转门和3个观察窗），门铰和拉手 等采用进口配件。</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3.2.2 压缩冷凝机组</w:t>
      </w:r>
    </w:p>
    <w:p>
      <w:pPr>
        <w:tabs>
          <w:tab w:val="left" w:pos="420"/>
        </w:tabs>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外侧工况制冷机组采用比泽尔、BOCK等压缩机，内侧为丹弗斯、比泽尔、谷轮、BOCK等压缩机。压冷机组采用水冷机组，并预留冷凝器循环清洗进、出水口和阀门。冷凝器采用壳管式，冷凝器及盖子全部采用金属材质制作。膨胀阀、干燥过滤器、电磁阀、压力控制器等阀体类均要求采用丹佛斯、艾默生品牌。</w:t>
      </w:r>
    </w:p>
    <w:p>
      <w:pPr>
        <w:tabs>
          <w:tab w:val="left" w:pos="420"/>
        </w:tabs>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环境间工况机组（室内、室外机）应具有</w:t>
      </w:r>
      <w:r>
        <w:rPr>
          <w:rFonts w:hint="eastAsia" w:asciiTheme="minorEastAsia" w:hAnsiTheme="minorEastAsia" w:cstheme="minorEastAsia"/>
          <w:bCs/>
          <w:szCs w:val="21"/>
          <w:highlight w:val="none"/>
        </w:rPr>
        <w:t>能量卸载、能量回收功能，</w:t>
      </w:r>
      <w:r>
        <w:rPr>
          <w:rFonts w:hint="eastAsia" w:asciiTheme="minorEastAsia" w:hAnsiTheme="minorEastAsia" w:cstheme="minorEastAsia"/>
          <w:szCs w:val="21"/>
          <w:highlight w:val="none"/>
        </w:rPr>
        <w:t>回收之能量可用于环境间/水侧加热使用。</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3.2.3 空气处理机组</w:t>
      </w:r>
    </w:p>
    <w:p>
      <w:pPr>
        <w:numPr>
          <w:ilvl w:val="0"/>
          <w:numId w:val="11"/>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本体材质：</w:t>
      </w:r>
      <w:r>
        <w:rPr>
          <w:rFonts w:hint="eastAsia" w:asciiTheme="minorEastAsia" w:hAnsiTheme="minorEastAsia" w:cstheme="minorEastAsia"/>
          <w:bCs/>
          <w:szCs w:val="21"/>
          <w:highlight w:val="none"/>
        </w:rPr>
        <w:t xml:space="preserve">不锈钢框架、外壳。  </w:t>
      </w:r>
      <w:r>
        <w:rPr>
          <w:rFonts w:hint="eastAsia" w:asciiTheme="minorEastAsia" w:hAnsiTheme="minorEastAsia" w:cstheme="minorEastAsia"/>
          <w:szCs w:val="21"/>
          <w:highlight w:val="none"/>
        </w:rPr>
        <w:t xml:space="preserve">                                                       </w:t>
      </w:r>
    </w:p>
    <w:p>
      <w:pPr>
        <w:numPr>
          <w:ilvl w:val="0"/>
          <w:numId w:val="11"/>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送风装置：皮带带动结构，内、外侧变频器控制。                    </w:t>
      </w:r>
    </w:p>
    <w:p>
      <w:pPr>
        <w:numPr>
          <w:ilvl w:val="0"/>
          <w:numId w:val="11"/>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加热装置：除霜电加热器，三相调功器调节，易拆装维护。                    </w:t>
      </w:r>
    </w:p>
    <w:p>
      <w:pPr>
        <w:numPr>
          <w:ilvl w:val="0"/>
          <w:numId w:val="11"/>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加湿装置：不锈钢干蒸汽加湿器，调节阀控制。             </w:t>
      </w:r>
    </w:p>
    <w:p>
      <w:pPr>
        <w:numPr>
          <w:ilvl w:val="0"/>
          <w:numId w:val="11"/>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保护装置：超温、高低压力、过电流。</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3.2.4 恒温水箱</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箱体采用整体式设计，内层采用1.5mm以上厚度的SUS304不锈钢材料，外层可选用0.8mm厚的优质SUS304不锈钢板。</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水箱夹层保温，保温材料采用应耐老化和阻燃式材料，保温层不外露，保温须满足当水箱温度在5度时不能有结露现象；</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水箱应便于清洗，在水箱底部的进出水口应稍高于箱底，防止杂物进入水管道系统，用于去污排水口应处于最底部，脏水和其它杂质能全部顺利排除干净，去污排水管的管径不能小于DN100；</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水箱的加强筋等构件一般要求在水箱外部，如不能避免时须保证水箱底部不允许有加强筋以便于清洗。</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水箱盖板应轻便，与箱体的配合良好，并且承重能力不小于80kg，每个盖板重量应不大于15kg。</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加热管电源进线箱与箱体有一定的距离，防止水箱的冷凝水进入；</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如加热管采用上下两层叠加的排布方式，须满足相互间的冷凝水、结露的水珠不能滴落到其它加热管上，同时加热管须考虑自身的凝露引起的电气间的短路或其它电气故障等。</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箱体加工工艺美观，各转接和边缘的钢板需处理达到圆滑过渡不割伤和划伤手。</w:t>
      </w:r>
    </w:p>
    <w:p>
      <w:pPr>
        <w:numPr>
          <w:ilvl w:val="0"/>
          <w:numId w:val="12"/>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水箱采用自动补水，同时具有液位过低、干烧、防漏电保护和报警功能。</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3.2.5 水泵</w:t>
      </w:r>
    </w:p>
    <w:p>
      <w:pPr>
        <w:numPr>
          <w:ilvl w:val="0"/>
          <w:numId w:val="13"/>
        </w:numPr>
        <w:tabs>
          <w:tab w:val="left" w:pos="36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水泵过流部件</w:t>
      </w:r>
      <w:r>
        <w:rPr>
          <w:rFonts w:hint="eastAsia" w:asciiTheme="minorEastAsia" w:hAnsiTheme="minorEastAsia" w:cstheme="minorEastAsia"/>
          <w:bCs/>
          <w:szCs w:val="21"/>
          <w:highlight w:val="none"/>
        </w:rPr>
        <w:t>全部采用不锈钢材质。</w:t>
      </w:r>
    </w:p>
    <w:p>
      <w:pPr>
        <w:numPr>
          <w:ilvl w:val="0"/>
          <w:numId w:val="13"/>
        </w:numPr>
        <w:tabs>
          <w:tab w:val="left" w:pos="36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水泵要求在最大负荷运行时外壳等发热部位的温度不能超过55度。</w:t>
      </w:r>
    </w:p>
    <w:p>
      <w:pPr>
        <w:numPr>
          <w:ilvl w:val="0"/>
          <w:numId w:val="13"/>
        </w:numPr>
        <w:tabs>
          <w:tab w:val="left" w:pos="36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电机防护等级为IP54，电机绝缘等级为F 级，具有运行噪音低、寿命长、防水能力强等特点。</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3.2.6 冷却塔</w:t>
      </w:r>
    </w:p>
    <w:p>
      <w:pPr>
        <w:numPr>
          <w:ilvl w:val="0"/>
          <w:numId w:val="14"/>
        </w:numPr>
        <w:tabs>
          <w:tab w:val="left" w:pos="420"/>
          <w:tab w:val="left" w:pos="1164"/>
        </w:tabs>
        <w:spacing w:before="93" w:beforeLines="30" w:after="93" w:afterLines="30" w:line="400" w:lineRule="exact"/>
        <w:ind w:left="405" w:hanging="405"/>
        <w:rPr>
          <w:rFonts w:asciiTheme="minorEastAsia" w:hAnsiTheme="minorEastAsia" w:cstheme="minorEastAsia"/>
          <w:szCs w:val="21"/>
          <w:highlight w:val="none"/>
        </w:rPr>
      </w:pPr>
      <w:r>
        <w:rPr>
          <w:rFonts w:hint="eastAsia" w:asciiTheme="minorEastAsia" w:hAnsiTheme="minorEastAsia" w:cstheme="minorEastAsia"/>
          <w:szCs w:val="21"/>
          <w:highlight w:val="none"/>
        </w:rPr>
        <w:t>采用方形横流式玻璃钢冷却塔。</w:t>
      </w:r>
    </w:p>
    <w:p>
      <w:pPr>
        <w:numPr>
          <w:ilvl w:val="0"/>
          <w:numId w:val="14"/>
        </w:numPr>
        <w:tabs>
          <w:tab w:val="left" w:pos="420"/>
          <w:tab w:val="left" w:pos="1164"/>
        </w:tabs>
        <w:spacing w:before="93" w:beforeLines="30" w:after="93" w:afterLines="30" w:line="400" w:lineRule="exact"/>
        <w:ind w:left="405" w:hanging="405"/>
        <w:rPr>
          <w:rFonts w:asciiTheme="minorEastAsia" w:hAnsiTheme="minorEastAsia" w:cstheme="minorEastAsia"/>
          <w:szCs w:val="21"/>
          <w:highlight w:val="none"/>
        </w:rPr>
      </w:pPr>
      <w:r>
        <w:rPr>
          <w:rFonts w:hint="eastAsia" w:asciiTheme="minorEastAsia" w:hAnsiTheme="minorEastAsia" w:cstheme="minorEastAsia"/>
          <w:szCs w:val="21"/>
          <w:highlight w:val="none"/>
        </w:rPr>
        <w:t>冷却塔及水泵和管路安装必须作防震处理，噪音≤65dB。</w:t>
      </w:r>
    </w:p>
    <w:p>
      <w:pPr>
        <w:numPr>
          <w:ilvl w:val="0"/>
          <w:numId w:val="14"/>
        </w:numPr>
        <w:tabs>
          <w:tab w:val="left" w:pos="420"/>
        </w:tabs>
        <w:spacing w:before="93" w:beforeLines="30" w:after="93" w:afterLines="30" w:line="400" w:lineRule="exact"/>
        <w:ind w:left="405" w:hanging="405"/>
        <w:rPr>
          <w:rFonts w:asciiTheme="minorEastAsia" w:hAnsiTheme="minorEastAsia" w:cstheme="minorEastAsia"/>
          <w:szCs w:val="21"/>
          <w:highlight w:val="none"/>
        </w:rPr>
      </w:pPr>
      <w:r>
        <w:rPr>
          <w:rFonts w:hint="eastAsia" w:asciiTheme="minorEastAsia" w:hAnsiTheme="minorEastAsia" w:cstheme="minorEastAsia"/>
          <w:szCs w:val="21"/>
          <w:highlight w:val="none"/>
        </w:rPr>
        <w:t>电机选用属户外型，电机防护等级为IP54，电机绝缘等级为F 级，具有运行噪音低、寿命长、防水能力强等特点。</w:t>
      </w:r>
    </w:p>
    <w:p>
      <w:pPr>
        <w:numPr>
          <w:ilvl w:val="0"/>
          <w:numId w:val="14"/>
        </w:numPr>
        <w:tabs>
          <w:tab w:val="left" w:pos="420"/>
        </w:tabs>
        <w:spacing w:before="93" w:beforeLines="30" w:after="93" w:afterLines="30" w:line="400" w:lineRule="exact"/>
        <w:ind w:left="405" w:hanging="405"/>
        <w:rPr>
          <w:rFonts w:asciiTheme="minorEastAsia" w:hAnsiTheme="minorEastAsia" w:cstheme="minorEastAsia"/>
          <w:szCs w:val="21"/>
          <w:highlight w:val="none"/>
        </w:rPr>
      </w:pPr>
      <w:r>
        <w:rPr>
          <w:rFonts w:hint="eastAsia" w:asciiTheme="minorEastAsia" w:hAnsiTheme="minorEastAsia" w:cstheme="minorEastAsia"/>
          <w:szCs w:val="21"/>
          <w:highlight w:val="none"/>
        </w:rPr>
        <w:t>冷却塔的选型、管路等安装须满足冬天气候在零度以下时使用，做好防冻措施。</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3.2.7 阀门和法兰</w:t>
      </w:r>
    </w:p>
    <w:p>
      <w:pPr>
        <w:numPr>
          <w:ilvl w:val="0"/>
          <w:numId w:val="1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阀门采用耐低温的化工阀，全部采用蜗轮传动对夹式蝶阀，其它补水等DN50以下小管路采用球阀。</w:t>
      </w:r>
    </w:p>
    <w:p>
      <w:pPr>
        <w:numPr>
          <w:ilvl w:val="0"/>
          <w:numId w:val="1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常温水管法兰与恒温水箱和流量计联接的所有连接法兰采用不锈钢材料，联接用螺栓螺母也采用不锈钢材料；其它载冷剂采用相对应的材料法兰。</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3.2.8 压力温度取样段</w:t>
      </w:r>
    </w:p>
    <w:p>
      <w:pPr>
        <w:numPr>
          <w:ilvl w:val="0"/>
          <w:numId w:val="16"/>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压力温度取样段采用镀锌钢管制作，两头带法兰连接；</w:t>
      </w:r>
    </w:p>
    <w:p>
      <w:pPr>
        <w:numPr>
          <w:ilvl w:val="0"/>
          <w:numId w:val="16"/>
        </w:numPr>
        <w:tabs>
          <w:tab w:val="left" w:pos="360"/>
          <w:tab w:val="left" w:pos="1164"/>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铂电阻安装采用套管的方式。</w:t>
      </w:r>
    </w:p>
    <w:p>
      <w:pPr>
        <w:spacing w:before="93" w:beforeLines="30" w:after="93" w:afterLines="30" w:line="400" w:lineRule="exact"/>
        <w:outlineLvl w:val="2"/>
        <w:rPr>
          <w:rFonts w:asciiTheme="minorEastAsia" w:hAnsiTheme="minorEastAsia" w:cstheme="minorEastAsia"/>
          <w:b/>
          <w:bCs/>
          <w:szCs w:val="21"/>
          <w:highlight w:val="none"/>
        </w:rPr>
      </w:pPr>
      <w:bookmarkStart w:id="32" w:name="_Toc145023924"/>
      <w:r>
        <w:rPr>
          <w:rFonts w:hint="eastAsia" w:asciiTheme="minorEastAsia" w:hAnsiTheme="minorEastAsia" w:cstheme="minorEastAsia"/>
          <w:b/>
          <w:bCs/>
          <w:szCs w:val="21"/>
          <w:highlight w:val="none"/>
        </w:rPr>
        <w:t>3.3 电气设备要求</w:t>
      </w:r>
      <w:bookmarkEnd w:id="32"/>
    </w:p>
    <w:p>
      <w:pPr>
        <w:tabs>
          <w:tab w:val="left" w:pos="420"/>
        </w:tabs>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动力柜内配置电源总进电开关，满足检修断电要 求，开关采用万能式电动断路器。 空气开关 采用富士、施耐德、LS塑壳空气开关，交流接触器采用施耐德，热继电器采用施耐德，信号指示灯采用日本富士、上海二工电，继电器采用 OMRON 。</w:t>
      </w:r>
    </w:p>
    <w:p>
      <w:pPr>
        <w:tabs>
          <w:tab w:val="left" w:pos="420"/>
        </w:tabs>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各柜配置足够的散热风扇，控制柜内的各元器件散热良好，要求动力柜在满负荷运行时内部温度不超过环境温度8 度。元器件和电源、电缆线的温升不能超过环境温度20度。 电加热管的空开须带有漏电功能； 所有设备的控制均需在触摸屏上实现。柜体采用冷轧钢板制作，被测机电源空气开关扳手或操作按钮外露在箱体盖，便于操作，应装有电压表和电源信号指示灯。</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3.4 主要设备配置要求</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479"/>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3698"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流量计</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品牌：日本横河/艾默生/科隆，</w:t>
            </w:r>
            <w:r>
              <w:rPr>
                <w:rStyle w:val="74"/>
                <w:rFonts w:asciiTheme="minorEastAsia" w:hAnsiTheme="minorEastAsia" w:eastAsiaTheme="minorEastAsia" w:cstheme="minorEastAsia"/>
                <w:sz w:val="21"/>
                <w:szCs w:val="21"/>
                <w:highlight w:val="none"/>
              </w:rPr>
              <w:t>测量精度：±0.5%，带液晶显示，须满足本技术要求的温度测量范围，满足低温温度和抗腐蚀的要求，同时流量计须满足在此时溶液粘度下的测量准确性；</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 xml:space="preserve">提供1年以上有效期的流量计计量证书。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数据采集器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品牌：日本横河/Keysight，型号：GM10/34970系列</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测量输入类型：DCV、TC、RTD、应变 预留至少8个通道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数字显示调节器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品牌：日本横河/山武，精度：±0.1%，型号：UT35A/SDC36。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电能表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品牌：日本横河，型号：WT333系列；</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精度：±0.5%，带电能积算功能。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调功器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品牌：希曼顿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电流互感器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品牌：彼爱琪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采样电阻</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T型热电偶线</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品牌：上自或等同质量品牌，长度2000米，精度±0.5℃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进出水温度传感器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品牌：千野，规格：PT100，精度±0.1℃，出线端头有不锈钢弹簧丝保护，长度须满足插入水管的中间位置。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压力传感器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品牌：Microsensor或等同品牌，精度：±0.25%FS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压差传感器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品牌：川仪或等同品牌，精度：±0.5%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可编程控制器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品牌：OMRON/西门子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触摸屏</w:t>
            </w:r>
          </w:p>
        </w:tc>
        <w:tc>
          <w:tcPr>
            <w:tcW w:w="3698" w:type="pct"/>
            <w:vAlign w:val="center"/>
          </w:tcPr>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品牌：威纶/Proface，规格型号：10.4英寸及以上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变频调速器</w:t>
            </w:r>
          </w:p>
        </w:tc>
        <w:tc>
          <w:tcPr>
            <w:tcW w:w="369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品牌：丹佛斯/</w:t>
            </w:r>
            <w:r>
              <w:rPr>
                <w:rFonts w:hint="eastAsia" w:asciiTheme="minorEastAsia" w:hAnsiTheme="minorEastAsia" w:cstheme="minorEastAsia"/>
                <w:szCs w:val="21"/>
                <w:highlight w:val="none"/>
              </w:rPr>
              <w:t xml:space="preserve"> ABB</w:t>
            </w:r>
            <w:r>
              <w:rPr>
                <w:rStyle w:val="74"/>
                <w:rFonts w:asciiTheme="minorEastAsia" w:hAnsiTheme="minorEastAsia" w:eastAsiaTheme="minorEastAsia" w:cstheme="minorEastAsia"/>
                <w:sz w:val="21"/>
                <w:szCs w:val="21"/>
                <w:highlight w:val="none"/>
              </w:rPr>
              <w:t xml:space="preserve"> /博世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稳压电源</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品牌：艾诺/思普/精华，规格：240kVA 三相统调 调压范围±15%，无触点式，避免碳刷与铜柱的磨损。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16</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空气开关（含智能断路器）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品牌：施耐德/西门子/ABB/LS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17</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接触器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品牌：施耐德/西门子/ABB/LS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18</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水泵</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品牌：凯泉/南方，机械密封，电机绝缘F级或以上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19</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冷却管道</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材质：无缝钢管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20</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冷冻管道</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材质：镀锌钢管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取样段（压力、温度）</w:t>
            </w:r>
          </w:p>
        </w:tc>
        <w:tc>
          <w:tcPr>
            <w:tcW w:w="3698" w:type="pct"/>
            <w:vAlign w:val="center"/>
          </w:tcPr>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实验台的被测机进出水管管口处制作压力温度取样口，温度取样口采用盲管直接放入的方式，盲管要求采用不锈钢管。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22</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板式换热器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品牌：同泽/唯益/宝德，</w:t>
            </w:r>
            <w:r>
              <w:rPr>
                <w:rStyle w:val="74"/>
                <w:rFonts w:asciiTheme="minorEastAsia" w:hAnsiTheme="minorEastAsia" w:eastAsiaTheme="minorEastAsia" w:cstheme="minorEastAsia"/>
                <w:sz w:val="21"/>
                <w:szCs w:val="21"/>
                <w:highlight w:val="none"/>
              </w:rPr>
              <w:t>配管时一次侧和二次侧入口处须安装过滤器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23</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气动阀门</w:t>
            </w:r>
          </w:p>
        </w:tc>
        <w:tc>
          <w:tcPr>
            <w:tcW w:w="3698" w:type="pct"/>
            <w:vAlign w:val="center"/>
          </w:tcPr>
          <w:p>
            <w:pPr>
              <w:widowControl/>
              <w:spacing w:line="360" w:lineRule="auto"/>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测试主管路阀门必须采用气动式阀门；</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品牌：塘沽/环球/南杭/沃特斯或等同质量品牌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电动阀门</w:t>
            </w:r>
          </w:p>
        </w:tc>
        <w:tc>
          <w:tcPr>
            <w:tcW w:w="3698" w:type="pct"/>
            <w:vAlign w:val="center"/>
          </w:tcPr>
          <w:p>
            <w:pPr>
              <w:widowControl/>
              <w:spacing w:line="360" w:lineRule="auto"/>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品牌：Tiger/Haqun或等同质量品牌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冷却塔</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品牌：良机或等同质量品牌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恒温水箱</w:t>
            </w:r>
          </w:p>
        </w:tc>
        <w:tc>
          <w:tcPr>
            <w:tcW w:w="3698" w:type="pct"/>
            <w:vAlign w:val="center"/>
          </w:tcPr>
          <w:p>
            <w:pPr>
              <w:widowControl/>
              <w:spacing w:line="360" w:lineRule="auto"/>
              <w:rPr>
                <w:rFonts w:asciiTheme="minorEastAsia" w:hAnsiTheme="minorEastAsia" w:cstheme="minorEastAsia"/>
                <w:color w:val="000000"/>
                <w:szCs w:val="21"/>
                <w:highlight w:val="none"/>
              </w:rPr>
            </w:pPr>
            <w:r>
              <w:rPr>
                <w:rStyle w:val="74"/>
                <w:rFonts w:asciiTheme="minorEastAsia" w:hAnsiTheme="minorEastAsia" w:eastAsiaTheme="minorEastAsia" w:cstheme="minorEastAsia"/>
                <w:sz w:val="21"/>
                <w:szCs w:val="21"/>
                <w:highlight w:val="none"/>
              </w:rPr>
              <w:t>箱体采用整体设计，内层采用2mm以上厚度的SUS304不锈钢材料，外层可选用1mm厚的优质SUS304不锈钢板，水箱夹层保温，保温材料采用应耐老化和阻燃式材料。水箱补水采用液位传感器自动控制电磁水阀进行。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测试连接软管及工装</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实验室进出水管道各配置一组不锈钢304软管，配置相应法兰连接工装，口径规格包括但不限于：DN50/DN65/DN80/DN100，并为每种规格配备与测试台对接的变径工装。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电缆</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品牌：渝丰、南方、泰山或更优品牌，软线。</w:t>
            </w:r>
          </w:p>
        </w:tc>
      </w:tr>
    </w:tbl>
    <w:p>
      <w:pPr>
        <w:spacing w:before="93" w:beforeLines="30" w:after="93" w:afterLines="30" w:line="400" w:lineRule="exact"/>
        <w:outlineLvl w:val="2"/>
        <w:rPr>
          <w:rFonts w:asciiTheme="minorEastAsia" w:hAnsiTheme="minorEastAsia" w:cstheme="minorEastAsia"/>
          <w:b/>
          <w:bCs/>
          <w:szCs w:val="21"/>
          <w:highlight w:val="none"/>
        </w:rPr>
      </w:pPr>
      <w:bookmarkStart w:id="33" w:name="_Toc145023929"/>
      <w:r>
        <w:rPr>
          <w:rFonts w:hint="eastAsia" w:asciiTheme="minorEastAsia" w:hAnsiTheme="minorEastAsia" w:cstheme="minorEastAsia"/>
          <w:b/>
          <w:bCs/>
          <w:szCs w:val="21"/>
          <w:highlight w:val="none"/>
        </w:rPr>
        <w:t>3.5 测试软件要求</w:t>
      </w:r>
      <w:bookmarkEnd w:id="33"/>
    </w:p>
    <w:p>
      <w:pPr>
        <w:numPr>
          <w:ilvl w:val="0"/>
          <w:numId w:val="17"/>
        </w:numPr>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测试报告存档时的文件名可自动生成序列号，生成的文件名由4部分组成，即机型名称+机型规格+年月+数字序号，其中前两部分由实验室人员手动输入，后两部分由软件自动生成。</w:t>
      </w:r>
    </w:p>
    <w:p>
      <w:pPr>
        <w:numPr>
          <w:ilvl w:val="0"/>
          <w:numId w:val="17"/>
        </w:numPr>
        <w:tabs>
          <w:tab w:val="left" w:pos="420"/>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测试报告的存档可在测试过程中任意选取一段时间进行存档，同时也可采用自动存档及在历史数据中也能随意生成报告和打印数据等功能。</w:t>
      </w:r>
    </w:p>
    <w:p>
      <w:pPr>
        <w:numPr>
          <w:ilvl w:val="0"/>
          <w:numId w:val="17"/>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软件测试显示的界面应按类别显示，软件数据界面应便于查看和切换。分成以下几个切换界面：</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主测试数据界面（包括界面包括设定值和实时测量值、测试计算值）</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辅测试数据界面（包括热电偶、压力测量值、风机压缩机电流功率单独测量值，该栏的测量点名称定义能实时进行修改名称）</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进出水温度、电功率参数2套系统分别计算显示测量结果，同步最终显示加权平权结果。</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铭牌参数和测量地点时间等界面（该界面的铭牌参数能实时进行修改）</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曲线显示与查询界面（一次可同时显示12条以上，并且各曲线的颜色识别应明显，每条曲线可单独进行上下限调整和坐标查询数据，每条曲线并可进行局部放大或是缩小的功能）</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PID表即时显示和修改界面，在测试软件上实现PID的操作，主要有设定值输入、P、I、D值修改、正反作用设定、仪表偏差设定、百分比输出的实时调整。</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在界面上可有模拟设备运行图，可在计算机上显示各个设备的运行状态和参数。</w:t>
      </w:r>
    </w:p>
    <w:p>
      <w:pPr>
        <w:numPr>
          <w:ilvl w:val="0"/>
          <w:numId w:val="18"/>
        </w:numPr>
        <w:tabs>
          <w:tab w:val="left" w:pos="840"/>
        </w:tabs>
        <w:spacing w:before="93" w:beforeLines="30" w:after="93" w:afterLines="30" w:line="400" w:lineRule="exact"/>
        <w:ind w:left="840" w:leftChars="20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由触摸屏操作的设备可以由测试软件上实现控制，防止在触摸屏发生故障时不影响试验操作正常进行。</w:t>
      </w:r>
    </w:p>
    <w:p>
      <w:pPr>
        <w:numPr>
          <w:ilvl w:val="0"/>
          <w:numId w:val="19"/>
        </w:numPr>
        <w:tabs>
          <w:tab w:val="left" w:pos="420"/>
          <w:tab w:val="left" w:pos="25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铭牌参数、各种控制参数、温度名称定义、压力名称定义可以在测试的过程中方便地进行修改和定义。</w:t>
      </w:r>
    </w:p>
    <w:p>
      <w:pPr>
        <w:numPr>
          <w:ilvl w:val="0"/>
          <w:numId w:val="19"/>
        </w:numPr>
        <w:tabs>
          <w:tab w:val="left" w:pos="420"/>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数据库可进行备份与恢复，数据量较大时有相应的解决措施，数据库需要对我司开放，以便实验数据统计汇总分析。</w:t>
      </w:r>
    </w:p>
    <w:p>
      <w:pPr>
        <w:numPr>
          <w:ilvl w:val="0"/>
          <w:numId w:val="19"/>
        </w:numPr>
        <w:tabs>
          <w:tab w:val="left" w:pos="420"/>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在历史数据的查询中的曲线显示不少于12条，并且曲线的颜色应清晰易辨，坐标轴移动灵活，所有数据都能定位读取，在查询显示的数据应是从程序进入到结束的整个过程数据（是指进入程序到当前工况记录完生成后的文件所对应的曲线段），包括了计算数据、测点数据。</w:t>
      </w:r>
    </w:p>
    <w:p>
      <w:pPr>
        <w:numPr>
          <w:ilvl w:val="0"/>
          <w:numId w:val="19"/>
        </w:numPr>
        <w:tabs>
          <w:tab w:val="left" w:pos="420"/>
          <w:tab w:val="left" w:pos="2520"/>
        </w:tabs>
        <w:spacing w:before="93" w:beforeLines="30" w:after="93" w:afterLines="30" w:line="400" w:lineRule="exact"/>
        <w:ind w:left="0" w:firstLine="0"/>
        <w:rPr>
          <w:rFonts w:asciiTheme="minorEastAsia" w:hAnsiTheme="minorEastAsia" w:cstheme="minorEastAsia"/>
          <w:szCs w:val="21"/>
          <w:highlight w:val="none"/>
        </w:rPr>
      </w:pPr>
      <w:r>
        <w:rPr>
          <w:rFonts w:hint="eastAsia" w:asciiTheme="minorEastAsia" w:hAnsiTheme="minorEastAsia" w:cstheme="minorEastAsia"/>
          <w:szCs w:val="21"/>
          <w:highlight w:val="none"/>
        </w:rPr>
        <w:t>历史数据的存储应是按每个试验报告生成文件名后所对应的全部数据。</w:t>
      </w:r>
    </w:p>
    <w:p>
      <w:pPr>
        <w:numPr>
          <w:ilvl w:val="0"/>
          <w:numId w:val="19"/>
        </w:numPr>
        <w:tabs>
          <w:tab w:val="left" w:pos="420"/>
          <w:tab w:val="left" w:pos="2520"/>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查找报告应按多种方式查询，如试验报告文件名、记录机型、试验日期等进行查找。全部测量参数由测控电脑自动实时采集、运算、显示。最小采样间隔为5s，采样间隔在5s至60 s之间可任意调整。</w:t>
      </w:r>
    </w:p>
    <w:p>
      <w:pPr>
        <w:numPr>
          <w:ilvl w:val="0"/>
          <w:numId w:val="19"/>
        </w:numPr>
        <w:tabs>
          <w:tab w:val="left" w:pos="420"/>
          <w:tab w:val="left" w:pos="2520"/>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能生成、输出、打印规定形式和内容的中英文、不同单位的EXCEL报表，电脑界面、报表格式须经过甲方确认。</w:t>
      </w:r>
    </w:p>
    <w:p>
      <w:pPr>
        <w:numPr>
          <w:ilvl w:val="0"/>
          <w:numId w:val="19"/>
        </w:numPr>
        <w:tabs>
          <w:tab w:val="left" w:pos="420"/>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监控电脑具有同监控设备、测量仪表、触摸屏之间的通信功能(如对控制仪表设定值、测量值实时设定、修正和查看控制仪表测量值、输出值以及观察、设定各开关量的状态等)。</w:t>
      </w:r>
    </w:p>
    <w:p>
      <w:pPr>
        <w:numPr>
          <w:ilvl w:val="0"/>
          <w:numId w:val="19"/>
        </w:numPr>
        <w:tabs>
          <w:tab w:val="left" w:pos="420"/>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测试软件须自带有一些换算或计算的小工具：主要有空气状态换算工具、制冷工质热力计算、风量冷量能力计算工具、冷水冷量计算。</w:t>
      </w:r>
    </w:p>
    <w:p>
      <w:pPr>
        <w:numPr>
          <w:ilvl w:val="0"/>
          <w:numId w:val="19"/>
        </w:numPr>
        <w:tabs>
          <w:tab w:val="left" w:pos="420"/>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测试软件包含测点零点修正（包含有多项式修正功能）、软件系统数据库的修改（包括历史名称、小数点位数、单位、仪表的上下限），修改完毕后能传送给数据采集器进行修和设定，要求增加密码管理。  </w:t>
      </w:r>
    </w:p>
    <w:p>
      <w:pPr>
        <w:numPr>
          <w:ilvl w:val="0"/>
          <w:numId w:val="19"/>
        </w:numPr>
        <w:tabs>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测试软件要有厂区局域网内远程实时测试功能——监控试验室测试信息（非远程桌面），包括当前测试、曲线、仪表状态等，相关操作与控制室本地操作类似。</w:t>
      </w:r>
    </w:p>
    <w:p>
      <w:pPr>
        <w:numPr>
          <w:ilvl w:val="0"/>
          <w:numId w:val="19"/>
        </w:numPr>
        <w:tabs>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测试软件要有预留网络接口——后续测试数据统一管理分析软件平台可抓取测试报告和测试数据。</w:t>
      </w:r>
    </w:p>
    <w:p>
      <w:pPr>
        <w:numPr>
          <w:ilvl w:val="0"/>
          <w:numId w:val="19"/>
        </w:numPr>
        <w:tabs>
          <w:tab w:val="left" w:pos="420"/>
          <w:tab w:val="left" w:pos="567"/>
        </w:tabs>
        <w:spacing w:before="93" w:beforeLines="30" w:after="93" w:afterLines="30" w:line="400" w:lineRule="exact"/>
        <w:ind w:left="420" w:hanging="420" w:hanging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测试软件需与PLC连接，在软件内可远程控制所有设备，并且显示报警信息和动态流程图，需设置操作权限，预留远程拓展接口，为后续的远程或者APP查看数据以及集控做好拓展接口。</w:t>
      </w:r>
    </w:p>
    <w:p>
      <w:pPr>
        <w:spacing w:before="93" w:beforeLines="30" w:after="93" w:afterLines="30" w:line="400" w:lineRule="exact"/>
        <w:outlineLvl w:val="2"/>
        <w:rPr>
          <w:rFonts w:asciiTheme="minorEastAsia" w:hAnsiTheme="minorEastAsia" w:cstheme="minorEastAsia"/>
          <w:b/>
          <w:bCs/>
          <w:szCs w:val="21"/>
          <w:highlight w:val="none"/>
        </w:rPr>
      </w:pPr>
      <w:bookmarkStart w:id="34" w:name="_Toc145023930"/>
      <w:r>
        <w:rPr>
          <w:rFonts w:hint="eastAsia" w:asciiTheme="minorEastAsia" w:hAnsiTheme="minorEastAsia" w:cstheme="minorEastAsia"/>
          <w:b/>
          <w:bCs/>
          <w:szCs w:val="21"/>
          <w:highlight w:val="none"/>
        </w:rPr>
        <w:t>3.6 验收要求</w:t>
      </w:r>
      <w:bookmarkEnd w:id="34"/>
    </w:p>
    <w:p>
      <w:pPr>
        <w:numPr>
          <w:ilvl w:val="0"/>
          <w:numId w:val="20"/>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各仪器仪表均须有出厂的检验合格证，经开箱检验合格后才能进行安装，安装完成后，</w:t>
      </w:r>
    </w:p>
    <w:p>
      <w:pPr>
        <w:numPr>
          <w:ilvl w:val="0"/>
          <w:numId w:val="20"/>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系统调试完成，再由甲方委托第三方进行计量，计量结果应符合合同的要求。</w:t>
      </w:r>
    </w:p>
    <w:p>
      <w:pPr>
        <w:numPr>
          <w:ilvl w:val="0"/>
          <w:numId w:val="20"/>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设备在安装完成后必须进行调试，调试期间须进行设备检查，各参数的标定、校验样</w:t>
      </w:r>
    </w:p>
    <w:p>
      <w:pPr>
        <w:numPr>
          <w:ilvl w:val="0"/>
          <w:numId w:val="20"/>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机名义制冷量、重复性试验及各运行工况试验，均需记录，形成书面资料。</w:t>
      </w:r>
    </w:p>
    <w:p>
      <w:pPr>
        <w:numPr>
          <w:ilvl w:val="0"/>
          <w:numId w:val="20"/>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必须配合甲方完成并通过GMPI认证。</w:t>
      </w:r>
    </w:p>
    <w:p>
      <w:pPr>
        <w:spacing w:before="93" w:beforeLines="30" w:after="93" w:afterLines="30" w:line="400" w:lineRule="exact"/>
        <w:outlineLvl w:val="2"/>
        <w:rPr>
          <w:rFonts w:asciiTheme="minorEastAsia" w:hAnsiTheme="minorEastAsia" w:cstheme="minorEastAsia"/>
          <w:b/>
          <w:bCs/>
          <w:szCs w:val="21"/>
          <w:highlight w:val="none"/>
        </w:rPr>
      </w:pPr>
      <w:bookmarkStart w:id="35" w:name="_Toc145023932"/>
      <w:r>
        <w:rPr>
          <w:rFonts w:hint="eastAsia" w:asciiTheme="minorEastAsia" w:hAnsiTheme="minorEastAsia" w:cstheme="minorEastAsia"/>
          <w:b/>
          <w:bCs/>
          <w:szCs w:val="21"/>
          <w:highlight w:val="none"/>
        </w:rPr>
        <w:t>3.7 安全规范要求</w:t>
      </w:r>
      <w:bookmarkEnd w:id="35"/>
    </w:p>
    <w:p>
      <w:pPr>
        <w:numPr>
          <w:ilvl w:val="0"/>
          <w:numId w:val="21"/>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设备设计制造必须符合国家及行业相关标准，防止误操作所引起的生产、质量、安全事故。如由于乙方设计、制造等缺陷所造成的安全事故及财产损失，由乙方全部承担；</w:t>
      </w:r>
    </w:p>
    <w:p>
      <w:pPr>
        <w:numPr>
          <w:ilvl w:val="0"/>
          <w:numId w:val="21"/>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要求在设备的危险位置（机械啮合处、旋转处、运动处等可能涉及人身安全的位置）安装可靠的防护装置，贴有明显的警示标识，同时要求在说明书上标识； 设备电机转向应标识清楚，在裸露的传动部位须加上防护罩等保护装置。</w:t>
      </w:r>
    </w:p>
    <w:p>
      <w:pPr>
        <w:numPr>
          <w:ilvl w:val="0"/>
          <w:numId w:val="21"/>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管道走向应规范、合理，色彩须符合国家的相关标准，并有清晰的文字标识及流向标识，禁止杂乱交叉；设备阀门应标识在正常工作状态下，是常开或常闭；设备仪表盘符合相关行业标准、国家标准，盘面应有区域颜色区别危险、正常、异常（红色代表危险区域、黄色代表异常区域、绿色代表正常区域）。</w:t>
      </w:r>
    </w:p>
    <w:p>
      <w:pPr>
        <w:numPr>
          <w:ilvl w:val="0"/>
          <w:numId w:val="21"/>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设备电气符合国家安全标准布线规范，开关容量应与设备负载匹配，具有有效的电气接地及漏电保护装置。</w:t>
      </w:r>
    </w:p>
    <w:p>
      <w:pPr>
        <w:numPr>
          <w:ilvl w:val="0"/>
          <w:numId w:val="21"/>
        </w:numPr>
        <w:tabs>
          <w:tab w:val="left" w:pos="420"/>
        </w:tabs>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噪音、废水、废气、固体废弃物的排放应符合国家标准及相关的行业标准。</w:t>
      </w:r>
    </w:p>
    <w:p>
      <w:pPr>
        <w:spacing w:before="93" w:beforeLines="30" w:after="93" w:afterLines="30" w:line="400" w:lineRule="exact"/>
        <w:outlineLvl w:val="2"/>
        <w:rPr>
          <w:rFonts w:asciiTheme="minorEastAsia" w:hAnsiTheme="minorEastAsia" w:cstheme="minorEastAsia"/>
          <w:b/>
          <w:bCs/>
          <w:szCs w:val="21"/>
          <w:highlight w:val="none"/>
        </w:rPr>
      </w:pPr>
      <w:bookmarkStart w:id="36" w:name="_Toc145023958"/>
      <w:r>
        <w:rPr>
          <w:rFonts w:hint="eastAsia" w:asciiTheme="minorEastAsia" w:hAnsiTheme="minorEastAsia" w:cstheme="minorEastAsia"/>
          <w:b/>
          <w:bCs/>
          <w:szCs w:val="21"/>
          <w:highlight w:val="none"/>
        </w:rPr>
        <w:t>四）电气安全设计</w:t>
      </w:r>
      <w:bookmarkEnd w:id="36"/>
    </w:p>
    <w:p>
      <w:pPr>
        <w:spacing w:before="93" w:beforeLines="30" w:after="93" w:afterLines="30" w:line="400" w:lineRule="exact"/>
        <w:outlineLvl w:val="2"/>
        <w:rPr>
          <w:rFonts w:asciiTheme="minorEastAsia" w:hAnsiTheme="minorEastAsia" w:cstheme="minorEastAsia"/>
          <w:b/>
          <w:bCs/>
          <w:szCs w:val="21"/>
          <w:highlight w:val="none"/>
        </w:rPr>
      </w:pPr>
      <w:bookmarkStart w:id="37" w:name="_Toc145023959"/>
      <w:r>
        <w:rPr>
          <w:rFonts w:hint="eastAsia" w:asciiTheme="minorEastAsia" w:hAnsiTheme="minorEastAsia" w:cstheme="minorEastAsia"/>
          <w:b/>
          <w:bCs/>
          <w:szCs w:val="21"/>
          <w:highlight w:val="none"/>
        </w:rPr>
        <w:t>4.1 电气施工安全</w:t>
      </w:r>
      <w:bookmarkEnd w:id="37"/>
    </w:p>
    <w:p>
      <w:pPr>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制冷实验室的施工规范主要可参照施工及验收标准进行施工安全要求：</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50274-1998    《制冷设备、空气分离设备安装工程施工及验收规范》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50236-1998    《现场设备、工业管道焊接工程施工及验收规范》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50231-1998    《机械设备安装工程施工及验收规范》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50243-2002    《通风与空调工程施工及验收规范》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50303-2002    《建筑电气工程施工及验收规范》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50194-1993    《建设工程施工现场供用电安全规范》</w:t>
      </w:r>
    </w:p>
    <w:p>
      <w:pPr>
        <w:numPr>
          <w:ilvl w:val="0"/>
          <w:numId w:val="22"/>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GB 9237-2001     《制冷与供热用机械制冷系统安全要求》</w:t>
      </w:r>
    </w:p>
    <w:p>
      <w:pPr>
        <w:spacing w:before="93" w:beforeLines="30" w:after="93" w:afterLines="30" w:line="400" w:lineRule="exact"/>
        <w:outlineLvl w:val="2"/>
        <w:rPr>
          <w:rFonts w:asciiTheme="minorEastAsia" w:hAnsiTheme="minorEastAsia" w:cstheme="minorEastAsia"/>
          <w:b/>
          <w:bCs/>
          <w:szCs w:val="21"/>
          <w:highlight w:val="none"/>
        </w:rPr>
      </w:pPr>
      <w:bookmarkStart w:id="38" w:name="_Toc145023960"/>
      <w:r>
        <w:rPr>
          <w:rFonts w:hint="eastAsia" w:asciiTheme="minorEastAsia" w:hAnsiTheme="minorEastAsia" w:cstheme="minorEastAsia"/>
          <w:b/>
          <w:bCs/>
          <w:szCs w:val="21"/>
          <w:highlight w:val="none"/>
        </w:rPr>
        <w:t>4.2 电气施工要求</w:t>
      </w:r>
      <w:bookmarkEnd w:id="38"/>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平直线段桥架吊架间距1.5m~2m，如果采用吊杆支架，吊杆直径不应小于8mm，且需在过梁处应设置固定支架。</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转弯处两边各设一组吊架，且两组吊架对称布置，间距不大于1.5米，否则转弯中间位置增设一组吊架；顶层桥架距楼板距离不小于150mm，上下层桥架间距不小于150mm。</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桥架、线槽按砼特殊角度准确放样、加工、安装。</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直线段钢制电缆桥架长度超过30米、铝合金或者玻璃钢制电缆桥架长度超过15米设有伸缩节；电缆桥架跨越建筑物变形缝处设置补偿装置。</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金属电缆桥架及其支架全长应不少于2处于接地干线相连接；桥架首位两端需与配电柜外壳或地线排可靠连接。</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非镀锌电缆桥架间连接板的两端跨接铜芯接地线，跨接地线一定要注意线槽桥架专用接地孔上，地线的最小允许截面积不小于4mm²；连接前剔除接地螺栓下方的绝缘层；镀锌桥架间连接板的两端不跨接接地线，但连接板两端不少于2个有防松螺帽或防松垫圈的连接固定螺栓。</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与土建配合，桥架穿越墙体、楼板等部位预先留孔。</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线槽、桥架底板应与支吊架横担用金属螺栓固定（≤200mm，用一个螺栓固定；＞200mm，距边1/4处两个螺栓固定）。</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桥架穿越墙体及楼板，应用不燃材料封堵；穿越防火分区桥架内必须做防火封堵。</w:t>
      </w:r>
    </w:p>
    <w:p>
      <w:pPr>
        <w:numPr>
          <w:ilvl w:val="0"/>
          <w:numId w:val="23"/>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室外安装桥架安装高度不能低于积雪、积水高度，同时考虑选用防水型盖板，进出室外桥架、线槽，室内须高于室外，防止雨水流入室内。</w:t>
      </w:r>
    </w:p>
    <w:p>
      <w:pPr>
        <w:spacing w:before="93" w:beforeLines="30" w:after="93" w:afterLines="30" w:line="400" w:lineRule="exact"/>
        <w:outlineLvl w:val="2"/>
        <w:rPr>
          <w:rFonts w:asciiTheme="minorEastAsia" w:hAnsiTheme="minorEastAsia" w:cstheme="minorEastAsia"/>
          <w:b/>
          <w:bCs/>
          <w:szCs w:val="21"/>
          <w:highlight w:val="none"/>
        </w:rPr>
      </w:pPr>
      <w:bookmarkStart w:id="39" w:name="_Toc145023961"/>
      <w:r>
        <w:rPr>
          <w:rFonts w:hint="eastAsia" w:asciiTheme="minorEastAsia" w:hAnsiTheme="minorEastAsia" w:cstheme="minorEastAsia"/>
          <w:b/>
          <w:bCs/>
          <w:szCs w:val="21"/>
          <w:highlight w:val="none"/>
        </w:rPr>
        <w:t>4.3 电柜及电气设备安全</w:t>
      </w:r>
      <w:bookmarkEnd w:id="39"/>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电柜内空气开关应动作灵敏可靠， 应有防止因试验操作人员接错被测机电线致短路的及时切断电</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电控箱以及电气设备的设计应符合国家相关电气标准；</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设备接线需要经过必要的绝缘测量，并记录数据；</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控制触摸屏界面清晰明了，操作 PLC 及其他设备正常；</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进行控制失效测试，检测控制报警是否正常；</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电柜及电控箱考虑安全锁定要求，保证任何维修操作无电压；</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强电柜和弱电柜内都需配备高温或烟雾报警器；</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测量靠近动力电缆的传感器连接线干扰，不得影响传感器信号；</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动力配线，控制配线需有线标，线标需标识清晰，标识与图纸对应无误，线标材料需经久耐用。</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动力柜与控制柜分离设计，动力控制柜可置于设备区，控制柜至于控制室内，柜体内都必须有良好的通风散热措施，且散热风扇应为抽风方式，噪音不能超过 55dB（A）。</w:t>
      </w:r>
    </w:p>
    <w:p>
      <w:pPr>
        <w:numPr>
          <w:ilvl w:val="0"/>
          <w:numId w:val="24"/>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实验室控制系统应有完备的保护措施和声光报警功能，报警信息及时间可以在触摸屏上实时显示并记录。</w:t>
      </w:r>
    </w:p>
    <w:p>
      <w:pPr>
        <w:spacing w:before="93" w:beforeLines="30" w:after="93" w:afterLines="30" w:line="400" w:lineRule="exact"/>
        <w:outlineLvl w:val="2"/>
        <w:rPr>
          <w:rFonts w:asciiTheme="minorEastAsia" w:hAnsiTheme="minorEastAsia" w:cstheme="minorEastAsia"/>
          <w:b/>
          <w:bCs/>
          <w:szCs w:val="21"/>
          <w:highlight w:val="none"/>
        </w:rPr>
      </w:pPr>
      <w:bookmarkStart w:id="40" w:name="_Toc145023962"/>
      <w:r>
        <w:rPr>
          <w:rFonts w:hint="eastAsia" w:asciiTheme="minorEastAsia" w:hAnsiTheme="minorEastAsia" w:cstheme="minorEastAsia"/>
          <w:b/>
          <w:bCs/>
          <w:szCs w:val="21"/>
          <w:highlight w:val="none"/>
        </w:rPr>
        <w:t>4.4 电气联锁保护安全</w:t>
      </w:r>
      <w:bookmarkEnd w:id="40"/>
    </w:p>
    <w:p>
      <w:pPr>
        <w:spacing w:before="93" w:beforeLines="30" w:after="93" w:afterLines="30" w:line="400" w:lineRule="exact"/>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PLC及电气设计时应至少应具有以下保护装置：</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空气处理机风机互锁保护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空气处理机风压保护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空气处理机电加热过热保护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风机过载保护（各种设备的过载保护）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压冷机组低压、高压保护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压冷机组的油压保护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压冷机组过载保护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压冷机组冷却水断流保护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蒸汽压力过低保护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相关机构的联锁和互锁；</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缺相及反相保护；</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被测机组接线柜漏电保护装置；</w:t>
      </w:r>
    </w:p>
    <w:p>
      <w:pPr>
        <w:numPr>
          <w:ilvl w:val="0"/>
          <w:numId w:val="25"/>
        </w:numPr>
        <w:spacing w:before="93" w:beforeLines="30" w:after="93" w:afterLines="30" w:line="400" w:lineRule="exact"/>
        <w:rPr>
          <w:rFonts w:asciiTheme="minorEastAsia" w:hAnsiTheme="minorEastAsia" w:cstheme="minorEastAsia"/>
          <w:szCs w:val="21"/>
          <w:highlight w:val="none"/>
        </w:rPr>
      </w:pPr>
      <w:r>
        <w:rPr>
          <w:rFonts w:hint="eastAsia" w:asciiTheme="minorEastAsia" w:hAnsiTheme="minorEastAsia" w:cstheme="minorEastAsia"/>
          <w:szCs w:val="21"/>
          <w:highlight w:val="none"/>
        </w:rPr>
        <w:t>强电柜和弱电柜内高温和烟雾报警保护；</w:t>
      </w:r>
    </w:p>
    <w:p>
      <w:pPr>
        <w:spacing w:before="93" w:beforeLines="30" w:after="93" w:afterLines="30" w:line="400" w:lineRule="exact"/>
        <w:outlineLvl w:val="2"/>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五）交付材料和要求</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工程实施方案；</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测试间、空气处理机组、水箱、风阀风门等关重件的外协、施工CAD图纸；</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平面布置、测试流程和电气CAD图纸；</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实验室使用维护说明书；</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所有设备清单、合格证和说明书；</w:t>
      </w:r>
    </w:p>
    <w:p>
      <w:pPr>
        <w:numPr>
          <w:ilvl w:val="1"/>
          <w:numId w:val="26"/>
        </w:numPr>
        <w:spacing w:before="93" w:beforeLines="30" w:after="93" w:afterLines="30" w:line="400" w:lineRule="exact"/>
        <w:ind w:left="442" w:hanging="442"/>
        <w:outlineLvl w:val="2"/>
        <w:rPr>
          <w:rFonts w:asciiTheme="minorEastAsia" w:hAnsiTheme="minorEastAsia" w:cstheme="minorEastAsia"/>
          <w:szCs w:val="21"/>
          <w:highlight w:val="none"/>
        </w:rPr>
      </w:pPr>
      <w:r>
        <w:rPr>
          <w:rFonts w:hint="eastAsia" w:asciiTheme="minorEastAsia" w:hAnsiTheme="minorEastAsia" w:cstheme="minorEastAsia"/>
          <w:szCs w:val="21"/>
          <w:highlight w:val="none"/>
        </w:rPr>
        <w:t>易耗易损件；</w:t>
      </w:r>
    </w:p>
    <w:p>
      <w:pPr>
        <w:numPr>
          <w:ilvl w:val="1"/>
          <w:numId w:val="26"/>
        </w:numPr>
        <w:spacing w:before="93" w:beforeLines="30" w:after="93" w:afterLines="30" w:line="400" w:lineRule="exact"/>
        <w:ind w:left="442" w:hanging="442"/>
        <w:rPr>
          <w:rFonts w:asciiTheme="minorEastAsia" w:hAnsiTheme="minorEastAsia" w:cstheme="minorEastAsia"/>
          <w:szCs w:val="21"/>
          <w:highlight w:val="none"/>
        </w:rPr>
      </w:pPr>
      <w:r>
        <w:rPr>
          <w:rFonts w:hint="eastAsia" w:asciiTheme="minorEastAsia" w:hAnsiTheme="minorEastAsia" w:cstheme="minorEastAsia"/>
          <w:szCs w:val="21"/>
          <w:highlight w:val="none"/>
        </w:rPr>
        <w:t>提供报价时应提供关键设备的详细配置、品牌、型号，作为技术协议附件；</w:t>
      </w:r>
    </w:p>
    <w:p>
      <w:pPr>
        <w:numPr>
          <w:ilvl w:val="1"/>
          <w:numId w:val="26"/>
        </w:numPr>
        <w:spacing w:before="93" w:beforeLines="30" w:after="93" w:afterLines="30" w:line="400" w:lineRule="exact"/>
        <w:ind w:left="442" w:hanging="442"/>
        <w:rPr>
          <w:rFonts w:asciiTheme="minorEastAsia" w:hAnsiTheme="minorEastAsia" w:cstheme="minorEastAsia"/>
          <w:szCs w:val="21"/>
          <w:highlight w:val="none"/>
        </w:rPr>
      </w:pPr>
      <w:r>
        <w:rPr>
          <w:rFonts w:hint="eastAsia" w:asciiTheme="minorEastAsia" w:hAnsiTheme="minorEastAsia" w:cstheme="minorEastAsia"/>
          <w:szCs w:val="21"/>
          <w:highlight w:val="none"/>
        </w:rPr>
        <w:t>乙方完成从甲方配电柜取电，由乙方进行现场勘查；</w:t>
      </w:r>
    </w:p>
    <w:p>
      <w:pPr>
        <w:numPr>
          <w:ilvl w:val="1"/>
          <w:numId w:val="26"/>
        </w:numPr>
        <w:spacing w:before="93" w:beforeLines="30" w:after="93" w:afterLines="30" w:line="400" w:lineRule="exact"/>
        <w:ind w:left="442" w:hanging="442"/>
        <w:rPr>
          <w:rFonts w:asciiTheme="minorEastAsia" w:hAnsiTheme="minorEastAsia" w:cstheme="minorEastAsia"/>
          <w:szCs w:val="21"/>
          <w:highlight w:val="none"/>
        </w:rPr>
      </w:pPr>
      <w:r>
        <w:rPr>
          <w:rFonts w:hint="eastAsia" w:asciiTheme="minorEastAsia" w:hAnsiTheme="minorEastAsia" w:cstheme="minorEastAsia"/>
          <w:szCs w:val="21"/>
          <w:highlight w:val="none"/>
        </w:rPr>
        <w:t>乙方须对甲方技术人员进行实验室的使用培训，</w:t>
      </w:r>
    </w:p>
    <w:p>
      <w:pPr>
        <w:numPr>
          <w:ilvl w:val="1"/>
          <w:numId w:val="26"/>
        </w:numPr>
        <w:spacing w:before="93" w:beforeLines="30" w:after="93" w:afterLines="30" w:line="400" w:lineRule="exact"/>
        <w:ind w:left="442" w:hanging="442"/>
        <w:rPr>
          <w:rFonts w:ascii="宋体" w:hAnsi="宋体" w:eastAsia="宋体" w:cs="宋体"/>
          <w:szCs w:val="21"/>
          <w:highlight w:val="none"/>
        </w:rPr>
      </w:pPr>
      <w:r>
        <w:rPr>
          <w:rFonts w:hint="eastAsia" w:asciiTheme="minorEastAsia" w:hAnsiTheme="minorEastAsia" w:cstheme="minorEastAsia"/>
          <w:szCs w:val="21"/>
          <w:highlight w:val="none"/>
        </w:rPr>
        <w:t>本实验室交付周期不超过120个自然天（自合同签署之日起）。</w:t>
      </w:r>
    </w:p>
    <w:p>
      <w:pPr>
        <w:pStyle w:val="58"/>
        <w:tabs>
          <w:tab w:val="left" w:pos="522"/>
        </w:tabs>
        <w:spacing w:before="160"/>
        <w:ind w:left="420" w:leftChars="200" w:firstLine="0" w:firstLineChars="0"/>
        <w:rPr>
          <w:rFonts w:ascii="宋体" w:hAnsi="宋体" w:cs="宋体"/>
          <w:szCs w:val="21"/>
          <w:highlight w:val="none"/>
        </w:rPr>
      </w:pPr>
    </w:p>
    <w:p>
      <w:pPr>
        <w:spacing w:before="15" w:line="360" w:lineRule="auto"/>
        <w:ind w:left="151" w:right="364"/>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5000kW</w:t>
      </w:r>
      <w:r>
        <w:rPr>
          <w:rFonts w:hint="eastAsia" w:asciiTheme="minorEastAsia" w:hAnsiTheme="minorEastAsia" w:cstheme="minorEastAsia"/>
          <w:b/>
          <w:bCs/>
          <w:spacing w:val="-4"/>
          <w:szCs w:val="21"/>
          <w:highlight w:val="none"/>
        </w:rPr>
        <w:t xml:space="preserve"> 水源热泵试验台技术要求</w:t>
      </w:r>
    </w:p>
    <w:p>
      <w:pPr>
        <w:pStyle w:val="3"/>
        <w:spacing w:before="67"/>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val="0"/>
          <w:spacing w:val="2"/>
          <w:w w:val="95"/>
          <w:sz w:val="21"/>
          <w:szCs w:val="21"/>
          <w:highlight w:val="none"/>
        </w:rPr>
        <w:t>一） 概述</w:t>
      </w:r>
      <w:r>
        <w:rPr>
          <w:rFonts w:hint="eastAsia" w:asciiTheme="minorEastAsia" w:hAnsiTheme="minorEastAsia" w:eastAsiaTheme="minorEastAsia" w:cstheme="minorEastAsia"/>
          <w:b/>
          <w:bCs w:val="0"/>
          <w:spacing w:val="2"/>
          <w:w w:val="99"/>
          <w:sz w:val="21"/>
          <w:szCs w:val="21"/>
          <w:highlight w:val="none"/>
        </w:rPr>
        <w:t xml:space="preserve"> </w:t>
      </w:r>
      <w:r>
        <w:rPr>
          <w:rFonts w:hint="eastAsia" w:asciiTheme="minorEastAsia" w:hAnsiTheme="minorEastAsia" w:eastAsiaTheme="minorEastAsia" w:cstheme="minorEastAsia"/>
          <w:spacing w:val="2"/>
          <w:w w:val="99"/>
          <w:sz w:val="21"/>
          <w:szCs w:val="21"/>
          <w:highlight w:val="none"/>
        </w:rPr>
        <w:t xml:space="preserve"> </w:t>
      </w:r>
    </w:p>
    <w:p>
      <w:pPr>
        <w:spacing w:line="360" w:lineRule="auto"/>
        <w:ind w:firstLine="408" w:firstLineChars="200"/>
        <w:rPr>
          <w:rFonts w:asciiTheme="minorEastAsia" w:hAnsiTheme="minorEastAsia" w:cstheme="minorEastAsia"/>
          <w:spacing w:val="-3"/>
          <w:szCs w:val="21"/>
          <w:highlight w:val="none"/>
        </w:rPr>
      </w:pPr>
      <w:r>
        <w:rPr>
          <w:rFonts w:hint="eastAsia" w:asciiTheme="minorEastAsia" w:hAnsiTheme="minorEastAsia" w:cstheme="minorEastAsia"/>
          <w:spacing w:val="-3"/>
          <w:szCs w:val="21"/>
          <w:highlight w:val="none"/>
        </w:rPr>
        <w:t>本试验装置可以测试水源热泵机组的制热（冷）</w:t>
      </w:r>
      <w:r>
        <w:rPr>
          <w:rFonts w:hint="eastAsia" w:asciiTheme="minorEastAsia" w:hAnsiTheme="minorEastAsia" w:cstheme="minorEastAsia"/>
          <w:spacing w:val="-2"/>
          <w:szCs w:val="21"/>
          <w:highlight w:val="none"/>
        </w:rPr>
        <w:t>量、电参数、水流量、水阻力、进出水温</w:t>
      </w:r>
      <w:r>
        <w:rPr>
          <w:rFonts w:hint="eastAsia" w:asciiTheme="minorEastAsia" w:hAnsiTheme="minorEastAsia" w:cstheme="minorEastAsia"/>
          <w:spacing w:val="-1"/>
          <w:szCs w:val="21"/>
          <w:highlight w:val="none"/>
        </w:rPr>
        <w:t xml:space="preserve">度等参数。设备采用 </w:t>
      </w:r>
      <w:r>
        <w:rPr>
          <w:rFonts w:hint="eastAsia" w:asciiTheme="minorEastAsia" w:hAnsiTheme="minorEastAsia" w:cstheme="minorEastAsia"/>
          <w:szCs w:val="21"/>
          <w:highlight w:val="none"/>
        </w:rPr>
        <w:t xml:space="preserve">PLC+触摸屏方式运行，测试软件可显示测试数据，并保存数据，可查询历史数据。 </w:t>
      </w:r>
      <w:r>
        <w:rPr>
          <w:rFonts w:hint="eastAsia" w:asciiTheme="minorEastAsia" w:hAnsiTheme="minorEastAsia" w:cstheme="minorEastAsia"/>
          <w:spacing w:val="-3"/>
          <w:szCs w:val="21"/>
          <w:highlight w:val="none"/>
        </w:rPr>
        <w:t>该要求仅确定了该热泵的技术参数，实验室建设标准和测试方法等按照国家相关标准和要求进行。</w:t>
      </w:r>
    </w:p>
    <w:p>
      <w:pPr>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项目工程内容包括实验室设计、制造、安装、调试和培训等工作。 </w:t>
      </w:r>
    </w:p>
    <w:p>
      <w:pPr>
        <w:pStyle w:val="3"/>
        <w:ind w:left="151" w:right="7066"/>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val="0"/>
          <w:spacing w:val="15"/>
          <w:sz w:val="21"/>
          <w:szCs w:val="21"/>
          <w:highlight w:val="none"/>
        </w:rPr>
        <w:t>二） 测试</w:t>
      </w:r>
      <w:r>
        <w:rPr>
          <w:rFonts w:hint="eastAsia" w:asciiTheme="minorEastAsia" w:hAnsiTheme="minorEastAsia" w:eastAsiaTheme="minorEastAsia" w:cstheme="minorEastAsia"/>
          <w:spacing w:val="15"/>
          <w:sz w:val="21"/>
          <w:szCs w:val="21"/>
          <w:highlight w:val="none"/>
        </w:rPr>
        <w:t>范围</w:t>
      </w:r>
      <w:r>
        <w:rPr>
          <w:rFonts w:hint="eastAsia" w:asciiTheme="minorEastAsia" w:hAnsiTheme="minorEastAsia" w:eastAsiaTheme="minorEastAsia" w:cstheme="minorEastAsia"/>
          <w:spacing w:val="15"/>
          <w:w w:val="99"/>
          <w:sz w:val="21"/>
          <w:szCs w:val="21"/>
          <w:highlight w:val="none"/>
        </w:rPr>
        <w:t xml:space="preserve"> </w:t>
      </w:r>
    </w:p>
    <w:p>
      <w:pPr>
        <w:pStyle w:val="7"/>
        <w:spacing w:before="162" w:after="30" w:line="360" w:lineRule="auto"/>
        <w:ind w:left="521"/>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1"/>
          <w:sz w:val="21"/>
          <w:szCs w:val="21"/>
          <w:highlight w:val="none"/>
        </w:rPr>
        <w:t>可测试的产品：冷热水型水源热泵机组</w:t>
      </w:r>
    </w:p>
    <w:p>
      <w:pPr>
        <w:pStyle w:val="7"/>
        <w:spacing w:before="162" w:after="30" w:line="360" w:lineRule="auto"/>
        <w:ind w:left="521"/>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被测机型号一</w:t>
      </w:r>
    </w:p>
    <w:tbl>
      <w:tblPr>
        <w:tblStyle w:val="7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0"/>
        <w:gridCol w:w="1798"/>
        <w:gridCol w:w="3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2770" w:type="dxa"/>
          </w:tcPr>
          <w:p>
            <w:pPr>
              <w:pStyle w:val="72"/>
              <w:spacing w:before="75" w:line="360" w:lineRule="auto"/>
              <w:ind w:left="368" w:right="259"/>
              <w:jc w:val="center"/>
              <w:rPr>
                <w:rFonts w:asciiTheme="minorEastAsia" w:hAnsiTheme="minorEastAsia" w:cstheme="minorEastAsia"/>
                <w:szCs w:val="21"/>
                <w:highlight w:val="none"/>
              </w:rPr>
            </w:pPr>
            <w:bookmarkStart w:id="41" w:name="_Hlk130469023"/>
            <w:r>
              <w:rPr>
                <w:rFonts w:hint="eastAsia" w:asciiTheme="minorEastAsia" w:hAnsiTheme="minorEastAsia" w:cstheme="minorEastAsia"/>
                <w:spacing w:val="-1"/>
                <w:szCs w:val="21"/>
                <w:highlight w:val="none"/>
              </w:rPr>
              <w:t>测试项目</w:t>
            </w:r>
            <w:r>
              <w:rPr>
                <w:rFonts w:hint="eastAsia" w:asciiTheme="minorEastAsia" w:hAnsiTheme="minorEastAsia" w:cstheme="minorEastAsia"/>
                <w:szCs w:val="21"/>
                <w:highlight w:val="none"/>
              </w:rPr>
              <w:t xml:space="preserve"> </w:t>
            </w:r>
          </w:p>
        </w:tc>
        <w:tc>
          <w:tcPr>
            <w:tcW w:w="1798" w:type="dxa"/>
          </w:tcPr>
          <w:p>
            <w:pPr>
              <w:pStyle w:val="72"/>
              <w:spacing w:before="75" w:line="360" w:lineRule="auto"/>
              <w:ind w:left="688"/>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单位 </w:t>
            </w:r>
          </w:p>
        </w:tc>
        <w:tc>
          <w:tcPr>
            <w:tcW w:w="3929" w:type="dxa"/>
          </w:tcPr>
          <w:p>
            <w:pPr>
              <w:pStyle w:val="72"/>
              <w:spacing w:before="75" w:line="360" w:lineRule="auto"/>
              <w:ind w:left="859"/>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水源热泵机组</w:t>
            </w:r>
            <w:r>
              <w:rPr>
                <w:rFonts w:hint="eastAsia" w:asciiTheme="minorEastAsia" w:hAnsiTheme="minorEastAsia" w:cstheme="minorEastAsia"/>
                <w:szCs w:val="21"/>
                <w:highlight w:val="none"/>
              </w:rPr>
              <w:t xml:space="preserve">（水-水）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制</w:t>
            </w:r>
            <w:r>
              <w:rPr>
                <w:rFonts w:hint="eastAsia" w:asciiTheme="minorEastAsia" w:hAnsiTheme="minorEastAsia" w:cstheme="minorEastAsia"/>
                <w:szCs w:val="21"/>
                <w:highlight w:val="none"/>
              </w:rPr>
              <w:t xml:space="preserve">热量 </w:t>
            </w:r>
          </w:p>
        </w:tc>
        <w:tc>
          <w:tcPr>
            <w:tcW w:w="1798" w:type="dxa"/>
          </w:tcPr>
          <w:p>
            <w:pPr>
              <w:pStyle w:val="72"/>
              <w:spacing w:before="75"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kW </w:t>
            </w:r>
          </w:p>
        </w:tc>
        <w:tc>
          <w:tcPr>
            <w:tcW w:w="3929" w:type="dxa"/>
          </w:tcPr>
          <w:p>
            <w:pPr>
              <w:pStyle w:val="72"/>
              <w:spacing w:before="75"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50～800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蒸发侧冷冻水流量</w:t>
            </w:r>
            <w:r>
              <w:rPr>
                <w:rFonts w:hint="eastAsia" w:asciiTheme="minorEastAsia" w:hAnsiTheme="minorEastAsia" w:cstheme="minorEastAsia"/>
                <w:szCs w:val="21"/>
                <w:highlight w:val="none"/>
              </w:rPr>
              <w:t xml:space="preserve"> </w:t>
            </w:r>
          </w:p>
        </w:tc>
        <w:tc>
          <w:tcPr>
            <w:tcW w:w="1798" w:type="dxa"/>
          </w:tcPr>
          <w:p>
            <w:pPr>
              <w:pStyle w:val="72"/>
              <w:spacing w:before="65"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m</w:t>
            </w:r>
            <w:r>
              <w:rPr>
                <w:rFonts w:hint="eastAsia" w:asciiTheme="minorEastAsia" w:hAnsiTheme="minorEastAsia" w:cstheme="minorEastAsia"/>
                <w:position w:val="11"/>
                <w:szCs w:val="21"/>
                <w:highlight w:val="none"/>
              </w:rPr>
              <w:t>3</w:t>
            </w:r>
            <w:r>
              <w:rPr>
                <w:rFonts w:hint="eastAsia" w:asciiTheme="minorEastAsia" w:hAnsiTheme="minorEastAsia" w:cstheme="minorEastAsia"/>
                <w:szCs w:val="21"/>
                <w:highlight w:val="none"/>
              </w:rPr>
              <w:t xml:space="preserve">/h </w:t>
            </w:r>
          </w:p>
        </w:tc>
        <w:tc>
          <w:tcPr>
            <w:tcW w:w="3929" w:type="dxa"/>
          </w:tcPr>
          <w:p>
            <w:pPr>
              <w:pStyle w:val="72"/>
              <w:spacing w:before="75"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蒸发侧进出水温</w:t>
            </w:r>
          </w:p>
        </w:tc>
        <w:tc>
          <w:tcPr>
            <w:tcW w:w="1798" w:type="dxa"/>
          </w:tcPr>
          <w:p>
            <w:pPr>
              <w:pStyle w:val="72"/>
              <w:spacing w:before="65"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3929" w:type="dxa"/>
          </w:tcPr>
          <w:p>
            <w:pPr>
              <w:pStyle w:val="72"/>
              <w:spacing w:before="75"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10-45/5-30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8"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冷凝侧冷却水流量</w:t>
            </w:r>
            <w:r>
              <w:rPr>
                <w:rFonts w:hint="eastAsia" w:asciiTheme="minorEastAsia" w:hAnsiTheme="minorEastAsia" w:cstheme="minorEastAsia"/>
                <w:szCs w:val="21"/>
                <w:highlight w:val="none"/>
              </w:rPr>
              <w:t xml:space="preserve"> </w:t>
            </w:r>
          </w:p>
        </w:tc>
        <w:tc>
          <w:tcPr>
            <w:tcW w:w="1798" w:type="dxa"/>
          </w:tcPr>
          <w:p>
            <w:pPr>
              <w:pStyle w:val="72"/>
              <w:spacing w:before="68"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m</w:t>
            </w:r>
            <w:r>
              <w:rPr>
                <w:rFonts w:hint="eastAsia" w:asciiTheme="minorEastAsia" w:hAnsiTheme="minorEastAsia" w:cstheme="minorEastAsia"/>
                <w:position w:val="11"/>
                <w:szCs w:val="21"/>
                <w:highlight w:val="none"/>
              </w:rPr>
              <w:t>3</w:t>
            </w:r>
            <w:r>
              <w:rPr>
                <w:rFonts w:hint="eastAsia" w:asciiTheme="minorEastAsia" w:hAnsiTheme="minorEastAsia" w:cstheme="minorEastAsia"/>
                <w:szCs w:val="21"/>
                <w:highlight w:val="none"/>
              </w:rPr>
              <w:t xml:space="preserve">/h </w:t>
            </w:r>
          </w:p>
        </w:tc>
        <w:tc>
          <w:tcPr>
            <w:tcW w:w="3929" w:type="dxa"/>
          </w:tcPr>
          <w:p>
            <w:pPr>
              <w:pStyle w:val="72"/>
              <w:spacing w:before="78"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4.5-140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8"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冷凝侧出/进水温</w:t>
            </w:r>
          </w:p>
        </w:tc>
        <w:tc>
          <w:tcPr>
            <w:tcW w:w="1798" w:type="dxa"/>
          </w:tcPr>
          <w:p>
            <w:pPr>
              <w:pStyle w:val="72"/>
              <w:spacing w:before="68"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3929" w:type="dxa"/>
          </w:tcPr>
          <w:p>
            <w:pPr>
              <w:pStyle w:val="72"/>
              <w:spacing w:before="78"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30-70/25-60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换热器最大水阻 </w:t>
            </w:r>
          </w:p>
        </w:tc>
        <w:tc>
          <w:tcPr>
            <w:tcW w:w="1798" w:type="dxa"/>
          </w:tcPr>
          <w:p>
            <w:pPr>
              <w:pStyle w:val="72"/>
              <w:spacing w:before="121" w:line="360" w:lineRule="auto"/>
              <w:ind w:left="74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MPa </w:t>
            </w:r>
          </w:p>
        </w:tc>
        <w:tc>
          <w:tcPr>
            <w:tcW w:w="3929" w:type="dxa"/>
          </w:tcPr>
          <w:p>
            <w:pPr>
              <w:pStyle w:val="72"/>
              <w:spacing w:before="121"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被试机组输入功率</w:t>
            </w:r>
            <w:r>
              <w:rPr>
                <w:rFonts w:hint="eastAsia" w:asciiTheme="minorEastAsia" w:hAnsiTheme="minorEastAsia" w:cstheme="minorEastAsia"/>
                <w:szCs w:val="21"/>
                <w:highlight w:val="none"/>
              </w:rPr>
              <w:t xml:space="preserve"> </w:t>
            </w:r>
          </w:p>
        </w:tc>
        <w:tc>
          <w:tcPr>
            <w:tcW w:w="1798" w:type="dxa"/>
          </w:tcPr>
          <w:p>
            <w:pPr>
              <w:pStyle w:val="72"/>
              <w:spacing w:before="121"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kW </w:t>
            </w: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被试机电源</w:t>
            </w:r>
          </w:p>
        </w:tc>
        <w:tc>
          <w:tcPr>
            <w:tcW w:w="1798" w:type="dxa"/>
          </w:tcPr>
          <w:p>
            <w:pPr>
              <w:pStyle w:val="72"/>
              <w:spacing w:before="121" w:line="360" w:lineRule="auto"/>
              <w:ind w:left="791"/>
              <w:rPr>
                <w:rFonts w:asciiTheme="minorEastAsia" w:hAnsiTheme="minorEastAsia" w:cstheme="minorEastAsia"/>
                <w:szCs w:val="21"/>
                <w:highlight w:val="none"/>
              </w:rPr>
            </w:pP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380V 3N-50HZ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电流范围</w:t>
            </w:r>
          </w:p>
        </w:tc>
        <w:tc>
          <w:tcPr>
            <w:tcW w:w="1798" w:type="dxa"/>
          </w:tcPr>
          <w:p>
            <w:pPr>
              <w:pStyle w:val="72"/>
              <w:spacing w:before="121"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A</w:t>
            </w: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770" w:type="dxa"/>
          </w:tcPr>
          <w:p>
            <w:pPr>
              <w:pStyle w:val="72"/>
              <w:spacing w:before="166" w:line="360" w:lineRule="auto"/>
              <w:ind w:left="95"/>
              <w:rPr>
                <w:rFonts w:asciiTheme="minorEastAsia" w:hAnsiTheme="minorEastAsia" w:cstheme="minorEastAsia"/>
                <w:szCs w:val="21"/>
                <w:highlight w:val="none"/>
              </w:rPr>
            </w:pPr>
            <w:r>
              <w:rPr>
                <w:rFonts w:hint="eastAsia" w:asciiTheme="minorEastAsia" w:hAnsiTheme="minorEastAsia" w:cstheme="minorEastAsia"/>
                <w:spacing w:val="-5"/>
                <w:szCs w:val="21"/>
                <w:highlight w:val="none"/>
              </w:rPr>
              <w:t xml:space="preserve">最大外形尺寸(含底座)(长 </w:t>
            </w:r>
            <w:r>
              <w:rPr>
                <w:rFonts w:hint="eastAsia" w:asciiTheme="minorEastAsia" w:hAnsiTheme="minorEastAsia" w:cstheme="minorEastAsia"/>
                <w:szCs w:val="21"/>
                <w:highlight w:val="none"/>
              </w:rPr>
              <w:t>x</w:t>
            </w:r>
          </w:p>
          <w:p>
            <w:pPr>
              <w:pStyle w:val="72"/>
              <w:spacing w:before="120" w:line="360" w:lineRule="auto"/>
              <w:ind w:left="1226"/>
              <w:rPr>
                <w:rFonts w:asciiTheme="minorEastAsia" w:hAnsiTheme="minorEastAsia" w:cstheme="minorEastAsia"/>
                <w:szCs w:val="21"/>
                <w:highlight w:val="none"/>
              </w:rPr>
            </w:pPr>
            <w:r>
              <w:rPr>
                <w:rFonts w:hint="eastAsia" w:asciiTheme="minorEastAsia" w:hAnsiTheme="minorEastAsia" w:cstheme="minorEastAsia"/>
                <w:spacing w:val="-27"/>
                <w:szCs w:val="21"/>
                <w:highlight w:val="none"/>
              </w:rPr>
              <w:t xml:space="preserve">宽 </w:t>
            </w:r>
            <w:r>
              <w:rPr>
                <w:rFonts w:hint="eastAsia" w:asciiTheme="minorEastAsia" w:hAnsiTheme="minorEastAsia" w:cstheme="minorEastAsia"/>
                <w:spacing w:val="-1"/>
                <w:szCs w:val="21"/>
                <w:highlight w:val="none"/>
              </w:rPr>
              <w:t>x</w:t>
            </w:r>
            <w:r>
              <w:rPr>
                <w:rFonts w:hint="eastAsia" w:asciiTheme="minorEastAsia" w:hAnsiTheme="minorEastAsia" w:cstheme="minorEastAsia"/>
                <w:spacing w:val="-18"/>
                <w:szCs w:val="21"/>
                <w:highlight w:val="none"/>
              </w:rPr>
              <w:t xml:space="preserve"> 高)</w:t>
            </w:r>
            <w:r>
              <w:rPr>
                <w:rFonts w:hint="eastAsia" w:asciiTheme="minorEastAsia" w:hAnsiTheme="minorEastAsia" w:cstheme="minorEastAsia"/>
                <w:szCs w:val="21"/>
                <w:highlight w:val="none"/>
              </w:rPr>
              <w:t xml:space="preserve"> </w:t>
            </w:r>
          </w:p>
        </w:tc>
        <w:tc>
          <w:tcPr>
            <w:tcW w:w="1798" w:type="dxa"/>
          </w:tcPr>
          <w:p>
            <w:pPr>
              <w:pStyle w:val="72"/>
              <w:spacing w:before="2" w:line="360" w:lineRule="auto"/>
              <w:rPr>
                <w:rFonts w:asciiTheme="minorEastAsia" w:hAnsiTheme="minorEastAsia" w:cstheme="minorEastAsia"/>
                <w:szCs w:val="21"/>
                <w:highlight w:val="none"/>
              </w:rPr>
            </w:pPr>
          </w:p>
          <w:p>
            <w:pPr>
              <w:pStyle w:val="72"/>
              <w:spacing w:before="0"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mm </w:t>
            </w:r>
          </w:p>
        </w:tc>
        <w:tc>
          <w:tcPr>
            <w:tcW w:w="3929" w:type="dxa"/>
          </w:tcPr>
          <w:p>
            <w:pPr>
              <w:pStyle w:val="72"/>
              <w:spacing w:before="2" w:line="360" w:lineRule="auto"/>
              <w:rPr>
                <w:rFonts w:asciiTheme="minorEastAsia" w:hAnsiTheme="minorEastAsia" w:cstheme="minorEastAsia"/>
                <w:szCs w:val="21"/>
                <w:highlight w:val="none"/>
              </w:rPr>
            </w:pPr>
          </w:p>
          <w:p>
            <w:pPr>
              <w:pStyle w:val="72"/>
              <w:spacing w:before="0"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4800*2500*2500</w:t>
            </w:r>
          </w:p>
        </w:tc>
      </w:tr>
      <w:bookmarkEnd w:id="41"/>
    </w:tbl>
    <w:p>
      <w:pPr>
        <w:pStyle w:val="7"/>
        <w:spacing w:before="162" w:after="30" w:line="360" w:lineRule="auto"/>
        <w:ind w:left="521"/>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被测机型号二</w:t>
      </w:r>
    </w:p>
    <w:tbl>
      <w:tblPr>
        <w:tblStyle w:val="7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0"/>
        <w:gridCol w:w="1798"/>
        <w:gridCol w:w="3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68"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测试项目</w:t>
            </w:r>
            <w:r>
              <w:rPr>
                <w:rFonts w:hint="eastAsia" w:asciiTheme="minorEastAsia" w:hAnsiTheme="minorEastAsia" w:cstheme="minorEastAsia"/>
                <w:szCs w:val="21"/>
                <w:highlight w:val="none"/>
              </w:rPr>
              <w:t xml:space="preserve"> </w:t>
            </w:r>
          </w:p>
        </w:tc>
        <w:tc>
          <w:tcPr>
            <w:tcW w:w="1798" w:type="dxa"/>
          </w:tcPr>
          <w:p>
            <w:pPr>
              <w:pStyle w:val="72"/>
              <w:spacing w:before="75" w:line="360" w:lineRule="auto"/>
              <w:ind w:left="688"/>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单位 </w:t>
            </w:r>
          </w:p>
        </w:tc>
        <w:tc>
          <w:tcPr>
            <w:tcW w:w="3929" w:type="dxa"/>
          </w:tcPr>
          <w:p>
            <w:pPr>
              <w:pStyle w:val="72"/>
              <w:spacing w:before="75" w:line="360" w:lineRule="auto"/>
              <w:ind w:left="859"/>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水源热泵机组</w:t>
            </w:r>
            <w:r>
              <w:rPr>
                <w:rFonts w:hint="eastAsia" w:asciiTheme="minorEastAsia" w:hAnsiTheme="minorEastAsia" w:cstheme="minorEastAsia"/>
                <w:szCs w:val="21"/>
                <w:highlight w:val="none"/>
              </w:rPr>
              <w:t xml:space="preserve">（水-水）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制</w:t>
            </w:r>
            <w:r>
              <w:rPr>
                <w:rFonts w:hint="eastAsia" w:asciiTheme="minorEastAsia" w:hAnsiTheme="minorEastAsia" w:cstheme="minorEastAsia"/>
                <w:szCs w:val="21"/>
                <w:highlight w:val="none"/>
              </w:rPr>
              <w:t xml:space="preserve">热量 </w:t>
            </w:r>
          </w:p>
        </w:tc>
        <w:tc>
          <w:tcPr>
            <w:tcW w:w="1798" w:type="dxa"/>
          </w:tcPr>
          <w:p>
            <w:pPr>
              <w:pStyle w:val="72"/>
              <w:spacing w:before="75"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kW </w:t>
            </w:r>
          </w:p>
        </w:tc>
        <w:tc>
          <w:tcPr>
            <w:tcW w:w="3929" w:type="dxa"/>
          </w:tcPr>
          <w:p>
            <w:pPr>
              <w:pStyle w:val="72"/>
              <w:spacing w:before="75"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800～5000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蒸发侧冷冻水流量</w:t>
            </w:r>
            <w:r>
              <w:rPr>
                <w:rFonts w:hint="eastAsia" w:asciiTheme="minorEastAsia" w:hAnsiTheme="minorEastAsia" w:cstheme="minorEastAsia"/>
                <w:szCs w:val="21"/>
                <w:highlight w:val="none"/>
              </w:rPr>
              <w:t xml:space="preserve"> </w:t>
            </w:r>
          </w:p>
        </w:tc>
        <w:tc>
          <w:tcPr>
            <w:tcW w:w="1798" w:type="dxa"/>
          </w:tcPr>
          <w:p>
            <w:pPr>
              <w:pStyle w:val="72"/>
              <w:spacing w:before="65"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m</w:t>
            </w:r>
            <w:r>
              <w:rPr>
                <w:rFonts w:hint="eastAsia" w:asciiTheme="minorEastAsia" w:hAnsiTheme="minorEastAsia" w:cstheme="minorEastAsia"/>
                <w:position w:val="11"/>
                <w:szCs w:val="21"/>
                <w:highlight w:val="none"/>
              </w:rPr>
              <w:t>3</w:t>
            </w:r>
            <w:r>
              <w:rPr>
                <w:rFonts w:hint="eastAsia" w:asciiTheme="minorEastAsia" w:hAnsiTheme="minorEastAsia" w:cstheme="minorEastAsia"/>
                <w:szCs w:val="21"/>
                <w:highlight w:val="none"/>
              </w:rPr>
              <w:t xml:space="preserve">/h </w:t>
            </w:r>
          </w:p>
        </w:tc>
        <w:tc>
          <w:tcPr>
            <w:tcW w:w="3929" w:type="dxa"/>
          </w:tcPr>
          <w:p>
            <w:pPr>
              <w:pStyle w:val="72"/>
              <w:spacing w:before="75"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5"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蒸发侧进出水温</w:t>
            </w:r>
          </w:p>
        </w:tc>
        <w:tc>
          <w:tcPr>
            <w:tcW w:w="1798" w:type="dxa"/>
          </w:tcPr>
          <w:p>
            <w:pPr>
              <w:pStyle w:val="72"/>
              <w:spacing w:before="65"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3929" w:type="dxa"/>
          </w:tcPr>
          <w:p>
            <w:pPr>
              <w:pStyle w:val="72"/>
              <w:spacing w:before="75"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10-45/5-30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8"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冷凝侧冷却水流量</w:t>
            </w:r>
            <w:r>
              <w:rPr>
                <w:rFonts w:hint="eastAsia" w:asciiTheme="minorEastAsia" w:hAnsiTheme="minorEastAsia" w:cstheme="minorEastAsia"/>
                <w:szCs w:val="21"/>
                <w:highlight w:val="none"/>
              </w:rPr>
              <w:t xml:space="preserve"> </w:t>
            </w:r>
          </w:p>
        </w:tc>
        <w:tc>
          <w:tcPr>
            <w:tcW w:w="1798" w:type="dxa"/>
          </w:tcPr>
          <w:p>
            <w:pPr>
              <w:pStyle w:val="72"/>
              <w:spacing w:before="68"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m</w:t>
            </w:r>
            <w:r>
              <w:rPr>
                <w:rFonts w:hint="eastAsia" w:asciiTheme="minorEastAsia" w:hAnsiTheme="minorEastAsia" w:cstheme="minorEastAsia"/>
                <w:position w:val="11"/>
                <w:szCs w:val="21"/>
                <w:highlight w:val="none"/>
              </w:rPr>
              <w:t>3</w:t>
            </w:r>
            <w:r>
              <w:rPr>
                <w:rFonts w:hint="eastAsia" w:asciiTheme="minorEastAsia" w:hAnsiTheme="minorEastAsia" w:cstheme="minorEastAsia"/>
                <w:szCs w:val="21"/>
                <w:highlight w:val="none"/>
              </w:rPr>
              <w:t xml:space="preserve">/h </w:t>
            </w:r>
          </w:p>
        </w:tc>
        <w:tc>
          <w:tcPr>
            <w:tcW w:w="3929" w:type="dxa"/>
          </w:tcPr>
          <w:p>
            <w:pPr>
              <w:pStyle w:val="72"/>
              <w:spacing w:before="78"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770" w:type="dxa"/>
          </w:tcPr>
          <w:p>
            <w:pPr>
              <w:pStyle w:val="72"/>
              <w:spacing w:before="78"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冷凝侧出/进水温</w:t>
            </w:r>
          </w:p>
        </w:tc>
        <w:tc>
          <w:tcPr>
            <w:tcW w:w="1798" w:type="dxa"/>
          </w:tcPr>
          <w:p>
            <w:pPr>
              <w:pStyle w:val="72"/>
              <w:spacing w:before="68" w:line="360" w:lineRule="auto"/>
              <w:ind w:left="712"/>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3929" w:type="dxa"/>
          </w:tcPr>
          <w:p>
            <w:pPr>
              <w:pStyle w:val="72"/>
              <w:spacing w:before="78"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30-70/25-60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换热器最大水阻 </w:t>
            </w:r>
          </w:p>
        </w:tc>
        <w:tc>
          <w:tcPr>
            <w:tcW w:w="1798" w:type="dxa"/>
          </w:tcPr>
          <w:p>
            <w:pPr>
              <w:pStyle w:val="72"/>
              <w:spacing w:before="121" w:line="360" w:lineRule="auto"/>
              <w:ind w:left="74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MPa </w:t>
            </w:r>
          </w:p>
        </w:tc>
        <w:tc>
          <w:tcPr>
            <w:tcW w:w="3929" w:type="dxa"/>
          </w:tcPr>
          <w:p>
            <w:pPr>
              <w:pStyle w:val="72"/>
              <w:spacing w:before="121"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zCs w:val="21"/>
                <w:highlight w:val="none"/>
              </w:rPr>
            </w:pPr>
            <w:r>
              <w:rPr>
                <w:rFonts w:hint="eastAsia" w:asciiTheme="minorEastAsia" w:hAnsiTheme="minorEastAsia" w:cstheme="minorEastAsia"/>
                <w:spacing w:val="-1"/>
                <w:szCs w:val="21"/>
                <w:highlight w:val="none"/>
              </w:rPr>
              <w:t>被试机组输入功率</w:t>
            </w:r>
            <w:r>
              <w:rPr>
                <w:rFonts w:hint="eastAsia" w:asciiTheme="minorEastAsia" w:hAnsiTheme="minorEastAsia" w:cstheme="minorEastAsia"/>
                <w:szCs w:val="21"/>
                <w:highlight w:val="none"/>
              </w:rPr>
              <w:t xml:space="preserve"> </w:t>
            </w:r>
          </w:p>
        </w:tc>
        <w:tc>
          <w:tcPr>
            <w:tcW w:w="1798" w:type="dxa"/>
          </w:tcPr>
          <w:p>
            <w:pPr>
              <w:pStyle w:val="72"/>
              <w:spacing w:before="121"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kW </w:t>
            </w: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被试机电源</w:t>
            </w:r>
          </w:p>
        </w:tc>
        <w:tc>
          <w:tcPr>
            <w:tcW w:w="1798" w:type="dxa"/>
          </w:tcPr>
          <w:p>
            <w:pPr>
              <w:pStyle w:val="72"/>
              <w:spacing w:before="121" w:line="360" w:lineRule="auto"/>
              <w:ind w:left="791"/>
              <w:rPr>
                <w:rFonts w:asciiTheme="minorEastAsia" w:hAnsiTheme="minorEastAsia" w:cstheme="minorEastAsia"/>
                <w:szCs w:val="21"/>
                <w:highlight w:val="none"/>
              </w:rPr>
            </w:pP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380V 3N-50HZ/690V 3N-50HZ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770" w:type="dxa"/>
          </w:tcPr>
          <w:p>
            <w:pPr>
              <w:pStyle w:val="72"/>
              <w:spacing w:before="121" w:line="360" w:lineRule="auto"/>
              <w:ind w:left="371" w:right="259"/>
              <w:jc w:val="center"/>
              <w:rPr>
                <w:rFonts w:asciiTheme="minorEastAsia" w:hAnsiTheme="minorEastAsia" w:cstheme="minorEastAsia"/>
                <w:spacing w:val="-1"/>
                <w:szCs w:val="21"/>
                <w:highlight w:val="none"/>
              </w:rPr>
            </w:pPr>
            <w:r>
              <w:rPr>
                <w:rFonts w:hint="eastAsia" w:asciiTheme="minorEastAsia" w:hAnsiTheme="minorEastAsia" w:cstheme="minorEastAsia"/>
                <w:spacing w:val="-1"/>
                <w:szCs w:val="21"/>
                <w:highlight w:val="none"/>
              </w:rPr>
              <w:t>电流范围</w:t>
            </w:r>
          </w:p>
        </w:tc>
        <w:tc>
          <w:tcPr>
            <w:tcW w:w="1798" w:type="dxa"/>
          </w:tcPr>
          <w:p>
            <w:pPr>
              <w:pStyle w:val="72"/>
              <w:spacing w:before="121"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A</w:t>
            </w:r>
          </w:p>
        </w:tc>
        <w:tc>
          <w:tcPr>
            <w:tcW w:w="3929" w:type="dxa"/>
          </w:tcPr>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320-1950（380V电源机型）</w:t>
            </w:r>
          </w:p>
          <w:p>
            <w:pPr>
              <w:pStyle w:val="72"/>
              <w:spacing w:before="121" w:line="360" w:lineRule="auto"/>
              <w:ind w:left="232"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350-1100（690V电源机型）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770" w:type="dxa"/>
          </w:tcPr>
          <w:p>
            <w:pPr>
              <w:pStyle w:val="72"/>
              <w:spacing w:before="166" w:line="360" w:lineRule="auto"/>
              <w:ind w:left="95"/>
              <w:rPr>
                <w:rFonts w:asciiTheme="minorEastAsia" w:hAnsiTheme="minorEastAsia" w:cstheme="minorEastAsia"/>
                <w:szCs w:val="21"/>
                <w:highlight w:val="none"/>
              </w:rPr>
            </w:pPr>
            <w:r>
              <w:rPr>
                <w:rFonts w:hint="eastAsia" w:asciiTheme="minorEastAsia" w:hAnsiTheme="minorEastAsia" w:cstheme="minorEastAsia"/>
                <w:spacing w:val="-5"/>
                <w:szCs w:val="21"/>
                <w:highlight w:val="none"/>
              </w:rPr>
              <w:t xml:space="preserve">最大外形尺寸(含底座)(长 </w:t>
            </w:r>
            <w:r>
              <w:rPr>
                <w:rFonts w:hint="eastAsia" w:asciiTheme="minorEastAsia" w:hAnsiTheme="minorEastAsia" w:cstheme="minorEastAsia"/>
                <w:szCs w:val="21"/>
                <w:highlight w:val="none"/>
              </w:rPr>
              <w:t>x</w:t>
            </w:r>
          </w:p>
          <w:p>
            <w:pPr>
              <w:pStyle w:val="72"/>
              <w:spacing w:before="120" w:line="360" w:lineRule="auto"/>
              <w:ind w:left="1226"/>
              <w:rPr>
                <w:rFonts w:asciiTheme="minorEastAsia" w:hAnsiTheme="minorEastAsia" w:cstheme="minorEastAsia"/>
                <w:szCs w:val="21"/>
                <w:highlight w:val="none"/>
              </w:rPr>
            </w:pPr>
            <w:r>
              <w:rPr>
                <w:rFonts w:hint="eastAsia" w:asciiTheme="minorEastAsia" w:hAnsiTheme="minorEastAsia" w:cstheme="minorEastAsia"/>
                <w:spacing w:val="-27"/>
                <w:szCs w:val="21"/>
                <w:highlight w:val="none"/>
              </w:rPr>
              <w:t xml:space="preserve">宽 </w:t>
            </w:r>
            <w:r>
              <w:rPr>
                <w:rFonts w:hint="eastAsia" w:asciiTheme="minorEastAsia" w:hAnsiTheme="minorEastAsia" w:cstheme="minorEastAsia"/>
                <w:spacing w:val="-1"/>
                <w:szCs w:val="21"/>
                <w:highlight w:val="none"/>
              </w:rPr>
              <w:t>x</w:t>
            </w:r>
            <w:r>
              <w:rPr>
                <w:rFonts w:hint="eastAsia" w:asciiTheme="minorEastAsia" w:hAnsiTheme="minorEastAsia" w:cstheme="minorEastAsia"/>
                <w:spacing w:val="-18"/>
                <w:szCs w:val="21"/>
                <w:highlight w:val="none"/>
              </w:rPr>
              <w:t xml:space="preserve"> 高)</w:t>
            </w:r>
            <w:r>
              <w:rPr>
                <w:rFonts w:hint="eastAsia" w:asciiTheme="minorEastAsia" w:hAnsiTheme="minorEastAsia" w:cstheme="minorEastAsia"/>
                <w:szCs w:val="21"/>
                <w:highlight w:val="none"/>
              </w:rPr>
              <w:t xml:space="preserve"> </w:t>
            </w:r>
          </w:p>
        </w:tc>
        <w:tc>
          <w:tcPr>
            <w:tcW w:w="1798" w:type="dxa"/>
          </w:tcPr>
          <w:p>
            <w:pPr>
              <w:pStyle w:val="72"/>
              <w:spacing w:before="2" w:line="360" w:lineRule="auto"/>
              <w:rPr>
                <w:rFonts w:asciiTheme="minorEastAsia" w:hAnsiTheme="minorEastAsia" w:cstheme="minorEastAsia"/>
                <w:szCs w:val="21"/>
                <w:highlight w:val="none"/>
              </w:rPr>
            </w:pPr>
          </w:p>
          <w:p>
            <w:pPr>
              <w:pStyle w:val="72"/>
              <w:spacing w:before="0" w:line="360" w:lineRule="auto"/>
              <w:ind w:left="791"/>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mm </w:t>
            </w:r>
          </w:p>
        </w:tc>
        <w:tc>
          <w:tcPr>
            <w:tcW w:w="3929" w:type="dxa"/>
          </w:tcPr>
          <w:p>
            <w:pPr>
              <w:pStyle w:val="72"/>
              <w:spacing w:before="2" w:line="360" w:lineRule="auto"/>
              <w:rPr>
                <w:rFonts w:asciiTheme="minorEastAsia" w:hAnsiTheme="minorEastAsia" w:cstheme="minorEastAsia"/>
                <w:szCs w:val="21"/>
                <w:highlight w:val="none"/>
              </w:rPr>
            </w:pPr>
          </w:p>
          <w:p>
            <w:pPr>
              <w:pStyle w:val="72"/>
              <w:spacing w:before="0" w:line="360" w:lineRule="auto"/>
              <w:ind w:left="235" w:right="121"/>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5800*2600*3200</w:t>
            </w:r>
          </w:p>
        </w:tc>
      </w:tr>
    </w:tbl>
    <w:p>
      <w:pPr>
        <w:pStyle w:val="7"/>
        <w:spacing w:before="143" w:line="360" w:lineRule="auto"/>
        <w:ind w:left="10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 xml:space="preserve">注： </w:t>
      </w:r>
    </w:p>
    <w:p>
      <w:pPr>
        <w:pStyle w:val="58"/>
        <w:numPr>
          <w:ilvl w:val="0"/>
          <w:numId w:val="27"/>
        </w:numPr>
        <w:tabs>
          <w:tab w:val="left" w:pos="739"/>
        </w:tabs>
        <w:spacing w:before="172" w:line="360" w:lineRule="auto"/>
        <w:ind w:right="312"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上表所有参数为被测机在各种工况可运行和测试的最小值和最大值（</w:t>
      </w:r>
      <w:r>
        <w:rPr>
          <w:rFonts w:hint="eastAsia" w:asciiTheme="minorEastAsia" w:hAnsiTheme="minorEastAsia" w:eastAsiaTheme="minorEastAsia" w:cstheme="minorEastAsia"/>
          <w:spacing w:val="-2"/>
          <w:szCs w:val="21"/>
          <w:highlight w:val="none"/>
        </w:rPr>
        <w:t xml:space="preserve">水流量兼容空调工况 </w:t>
      </w: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spacing w:val="-2"/>
          <w:szCs w:val="21"/>
          <w:highlight w:val="none"/>
        </w:rPr>
        <w:t xml:space="preserve"> ℃温</w:t>
      </w:r>
      <w:r>
        <w:rPr>
          <w:rFonts w:hint="eastAsia" w:asciiTheme="minorEastAsia" w:hAnsiTheme="minorEastAsia" w:eastAsiaTheme="minorEastAsia" w:cstheme="minorEastAsia"/>
          <w:szCs w:val="21"/>
          <w:highlight w:val="none"/>
        </w:rPr>
        <w:t>差及大温差供热20℃温差设计，系统依据流量有效测试范围设计为准</w:t>
      </w:r>
      <w:r>
        <w:rPr>
          <w:rFonts w:hint="eastAsia" w:asciiTheme="minorEastAsia" w:hAnsiTheme="minorEastAsia" w:eastAsiaTheme="minorEastAsia" w:cstheme="minorEastAsia"/>
          <w:spacing w:val="-106"/>
          <w:szCs w:val="21"/>
          <w:highlight w:val="none"/>
        </w:rPr>
        <w:t>）</w:t>
      </w:r>
      <w:r>
        <w:rPr>
          <w:rFonts w:hint="eastAsia" w:asciiTheme="minorEastAsia" w:hAnsiTheme="minorEastAsia" w:eastAsiaTheme="minorEastAsia" w:cstheme="minorEastAsia"/>
          <w:szCs w:val="21"/>
          <w:highlight w:val="none"/>
        </w:rPr>
        <w:t>。</w:t>
      </w:r>
      <w:r>
        <w:rPr>
          <w:rFonts w:hint="eastAsia" w:asciiTheme="minorEastAsia" w:hAnsiTheme="minorEastAsia" w:eastAsiaTheme="minorEastAsia" w:cstheme="minorEastAsia"/>
          <w:spacing w:val="-3"/>
          <w:szCs w:val="21"/>
          <w:highlight w:val="none"/>
        </w:rPr>
        <w:t xml:space="preserve"> </w:t>
      </w:r>
      <w:r>
        <w:rPr>
          <w:rFonts w:hint="eastAsia" w:asciiTheme="minorEastAsia" w:hAnsiTheme="minorEastAsia" w:eastAsiaTheme="minorEastAsia" w:cstheme="minorEastAsia"/>
          <w:szCs w:val="21"/>
          <w:highlight w:val="none"/>
        </w:rPr>
        <w:t xml:space="preserve"> </w:t>
      </w:r>
    </w:p>
    <w:p>
      <w:pPr>
        <w:pStyle w:val="58"/>
        <w:numPr>
          <w:ilvl w:val="0"/>
          <w:numId w:val="27"/>
        </w:numPr>
        <w:tabs>
          <w:tab w:val="left" w:pos="739"/>
        </w:tabs>
        <w:spacing w:before="172" w:line="360" w:lineRule="auto"/>
        <w:ind w:left="739" w:firstLine="428"/>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pacing w:val="2"/>
          <w:szCs w:val="21"/>
          <w:highlight w:val="none"/>
        </w:rPr>
        <w:t xml:space="preserve">系统配冷源。被试机运行时冷却水出水温度与冷冻水出水温度的温差不得小于 </w:t>
      </w:r>
      <w:r>
        <w:rPr>
          <w:rFonts w:hint="eastAsia" w:asciiTheme="minorEastAsia" w:hAnsiTheme="minorEastAsia" w:eastAsiaTheme="minorEastAsia" w:cstheme="minorEastAsia"/>
          <w:szCs w:val="21"/>
          <w:highlight w:val="none"/>
        </w:rPr>
        <w:t>16℃</w:t>
      </w:r>
      <w:r>
        <w:rPr>
          <w:rFonts w:hint="eastAsia" w:asciiTheme="minorEastAsia" w:hAnsiTheme="minorEastAsia" w:eastAsiaTheme="minorEastAsia" w:cstheme="minorEastAsia"/>
          <w:spacing w:val="-111"/>
          <w:szCs w:val="21"/>
          <w:highlight w:val="none"/>
        </w:rPr>
        <w:t>。</w:t>
      </w:r>
      <w:r>
        <w:rPr>
          <w:rFonts w:hint="eastAsia" w:asciiTheme="minorEastAsia" w:hAnsiTheme="minorEastAsia" w:eastAsiaTheme="minorEastAsia" w:cstheme="minorEastAsia"/>
          <w:spacing w:val="-3"/>
          <w:szCs w:val="21"/>
          <w:highlight w:val="none"/>
        </w:rPr>
        <w:t xml:space="preserve"> </w:t>
      </w:r>
      <w:r>
        <w:rPr>
          <w:rFonts w:hint="eastAsia" w:asciiTheme="minorEastAsia" w:hAnsiTheme="minorEastAsia" w:eastAsiaTheme="minorEastAsia" w:cstheme="minorEastAsia"/>
          <w:szCs w:val="21"/>
          <w:highlight w:val="none"/>
        </w:rPr>
        <w:t xml:space="preserve"> </w:t>
      </w:r>
    </w:p>
    <w:p>
      <w:pPr>
        <w:pStyle w:val="58"/>
        <w:numPr>
          <w:ilvl w:val="0"/>
          <w:numId w:val="27"/>
        </w:numPr>
        <w:tabs>
          <w:tab w:val="left" w:pos="739"/>
        </w:tabs>
        <w:spacing w:before="171" w:line="360" w:lineRule="auto"/>
        <w:ind w:left="739"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本装置利用冷却塔散热。</w:t>
      </w:r>
    </w:p>
    <w:p>
      <w:pPr>
        <w:pStyle w:val="58"/>
        <w:numPr>
          <w:ilvl w:val="0"/>
          <w:numId w:val="27"/>
        </w:numPr>
        <w:tabs>
          <w:tab w:val="left" w:pos="739"/>
        </w:tabs>
        <w:spacing w:before="171" w:line="360" w:lineRule="auto"/>
        <w:ind w:left="739"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需要考虑样机启动时启动电流对电网电压的影响。</w:t>
      </w:r>
    </w:p>
    <w:p>
      <w:pPr>
        <w:pStyle w:val="58"/>
        <w:numPr>
          <w:ilvl w:val="0"/>
          <w:numId w:val="27"/>
        </w:numPr>
        <w:tabs>
          <w:tab w:val="left" w:pos="739"/>
        </w:tabs>
        <w:spacing w:before="171" w:line="360" w:lineRule="auto"/>
        <w:ind w:left="739"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5000kW测试台需配备380V、690V两种测试机独立电源。</w:t>
      </w:r>
    </w:p>
    <w:p>
      <w:pPr>
        <w:pStyle w:val="58"/>
        <w:numPr>
          <w:ilvl w:val="0"/>
          <w:numId w:val="27"/>
        </w:numPr>
        <w:tabs>
          <w:tab w:val="left" w:pos="739"/>
        </w:tabs>
        <w:spacing w:before="171" w:line="360" w:lineRule="auto"/>
        <w:ind w:left="739"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每个测试台配备8只备用压力传感器，量程0~3MPa（A），共计16只。</w:t>
      </w:r>
    </w:p>
    <w:p>
      <w:pPr>
        <w:pStyle w:val="58"/>
        <w:numPr>
          <w:ilvl w:val="0"/>
          <w:numId w:val="27"/>
        </w:numPr>
        <w:tabs>
          <w:tab w:val="left" w:pos="739"/>
        </w:tabs>
        <w:spacing w:before="171" w:line="360" w:lineRule="auto"/>
        <w:ind w:left="739"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每个测试台配备24个通道热电偶备用温度，共计48只。</w:t>
      </w:r>
    </w:p>
    <w:p>
      <w:pPr>
        <w:spacing w:line="360" w:lineRule="auto"/>
        <w:ind w:left="102"/>
        <w:rPr>
          <w:rFonts w:asciiTheme="minorEastAsia" w:hAnsiTheme="minorEastAsia" w:cstheme="minorEastAsia"/>
          <w:b/>
          <w:bCs/>
          <w:szCs w:val="21"/>
          <w:highlight w:val="none"/>
        </w:rPr>
      </w:pPr>
      <w:r>
        <w:rPr>
          <w:rFonts w:hint="eastAsia" w:asciiTheme="minorEastAsia" w:hAnsiTheme="minorEastAsia" w:cstheme="minorEastAsia"/>
          <w:b/>
          <w:bCs/>
          <w:spacing w:val="39"/>
          <w:szCs w:val="21"/>
          <w:highlight w:val="none"/>
        </w:rPr>
        <w:t>三）</w:t>
      </w:r>
      <w:r>
        <w:rPr>
          <w:rFonts w:hint="eastAsia" w:asciiTheme="minorEastAsia" w:hAnsiTheme="minorEastAsia" w:cstheme="minorEastAsia"/>
          <w:b/>
          <w:bCs/>
          <w:szCs w:val="21"/>
          <w:highlight w:val="none"/>
        </w:rPr>
        <w:t xml:space="preserve">测试条件 </w:t>
      </w:r>
    </w:p>
    <w:p>
      <w:pPr>
        <w:pStyle w:val="58"/>
        <w:numPr>
          <w:ilvl w:val="0"/>
          <w:numId w:val="28"/>
        </w:numPr>
        <w:tabs>
          <w:tab w:val="left" w:pos="461"/>
          <w:tab w:val="left" w:pos="462"/>
        </w:tabs>
        <w:spacing w:before="162"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依据标准：</w:t>
      </w:r>
    </w:p>
    <w:p>
      <w:pPr>
        <w:spacing w:line="360" w:lineRule="auto"/>
        <w:ind w:firstLine="420" w:firstLineChars="20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表3.1 设计依据标准</w:t>
      </w:r>
    </w:p>
    <w:tbl>
      <w:tblPr>
        <w:tblStyle w:val="20"/>
        <w:tblW w:w="86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6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GB/T 10870-2014</w:t>
            </w:r>
          </w:p>
        </w:tc>
        <w:tc>
          <w:tcPr>
            <w:tcW w:w="6719"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w:t>
            </w:r>
            <w:r>
              <w:rPr>
                <w:rFonts w:hint="eastAsia" w:asciiTheme="minorEastAsia" w:hAnsiTheme="minorEastAsia" w:cstheme="minorEastAsia"/>
                <w:szCs w:val="21"/>
                <w:highlight w:val="none"/>
              </w:rPr>
              <w:t>蒸气压缩循环冷水（热泵）机组性能试验方法</w:t>
            </w:r>
            <w:r>
              <w:rPr>
                <w:rFonts w:hint="eastAsia" w:asciiTheme="minorEastAsia" w:hAnsiTheme="minorEastAsia" w:cstheme="minorEastAsia"/>
                <w:color w:val="00000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GB/T25861-2023</w:t>
            </w:r>
          </w:p>
        </w:tc>
        <w:tc>
          <w:tcPr>
            <w:tcW w:w="6719" w:type="dxa"/>
            <w:vAlign w:val="center"/>
          </w:tcPr>
          <w:p>
            <w:pPr>
              <w:pStyle w:val="72"/>
              <w:spacing w:line="360" w:lineRule="auto"/>
              <w:ind w:left="105" w:leftChars="50"/>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蒸气压缩循环水源高温热泵机组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GB/T 18430.1-2007</w:t>
            </w:r>
          </w:p>
        </w:tc>
        <w:tc>
          <w:tcPr>
            <w:tcW w:w="6719"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w:t>
            </w:r>
            <w:r>
              <w:rPr>
                <w:rFonts w:hint="eastAsia" w:asciiTheme="minorEastAsia" w:hAnsiTheme="minorEastAsia" w:cstheme="minorEastAsia"/>
                <w:szCs w:val="21"/>
                <w:highlight w:val="none"/>
              </w:rPr>
              <w:t>蒸气压缩循环冷水(热泵)机组第 1 部分工业或商业用及类似用途的冷水(热泵)机组</w:t>
            </w:r>
            <w:r>
              <w:rPr>
                <w:rFonts w:hint="eastAsia" w:asciiTheme="minorEastAsia" w:hAnsiTheme="minorEastAsia" w:cstheme="minorEastAsia"/>
                <w:color w:val="00000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GB∕T 18430.2-2008</w:t>
            </w:r>
          </w:p>
        </w:tc>
        <w:tc>
          <w:tcPr>
            <w:tcW w:w="6719"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w:t>
            </w:r>
            <w:r>
              <w:rPr>
                <w:rFonts w:hint="eastAsia" w:asciiTheme="minorEastAsia" w:hAnsiTheme="minorEastAsia" w:cstheme="minorEastAsia"/>
                <w:szCs w:val="21"/>
                <w:highlight w:val="none"/>
              </w:rPr>
              <w:t>蒸气压缩循环冷水(热泵)机组第 2 部分户用及类似用途的冷水(热泵)机组</w:t>
            </w:r>
            <w:r>
              <w:rPr>
                <w:rFonts w:hint="eastAsia" w:asciiTheme="minorEastAsia" w:hAnsiTheme="minorEastAsia" w:cstheme="minorEastAsia"/>
                <w:color w:val="000000"/>
                <w:szCs w:val="21"/>
                <w:highlight w:val="none"/>
              </w:rPr>
              <w:t>》</w:t>
            </w:r>
          </w:p>
        </w:tc>
      </w:tr>
    </w:tbl>
    <w:p>
      <w:pPr>
        <w:spacing w:line="360" w:lineRule="auto"/>
        <w:ind w:firstLine="420" w:firstLineChars="200"/>
        <w:jc w:val="center"/>
        <w:rPr>
          <w:rFonts w:asciiTheme="minorEastAsia" w:hAnsiTheme="minorEastAsia" w:cstheme="minorEastAsia"/>
          <w:szCs w:val="21"/>
          <w:highlight w:val="none"/>
        </w:rPr>
      </w:pPr>
    </w:p>
    <w:p>
      <w:pPr>
        <w:spacing w:line="360" w:lineRule="auto"/>
        <w:ind w:firstLine="420" w:firstLineChars="20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表3.2 安装依据标准</w:t>
      </w:r>
    </w:p>
    <w:tbl>
      <w:tblPr>
        <w:tblStyle w:val="20"/>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6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50274</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《制冷设备、空气分离设备安装工程施工及验收规范》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50236</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《现场设备、工业管道焊接工程施工及验收规范》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50231</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《机械设备安装工程施工及验收规范》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50194</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《建设工程施工现场供用电安全规范》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50114</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《暖通空调工程制图标准》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72"/>
              <w:spacing w:line="360" w:lineRule="auto"/>
              <w:ind w:left="105" w:leftChars="50"/>
              <w:jc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GB/T 9237</w:t>
            </w:r>
          </w:p>
        </w:tc>
        <w:tc>
          <w:tcPr>
            <w:tcW w:w="6995" w:type="dxa"/>
            <w:vAlign w:val="center"/>
          </w:tcPr>
          <w:p>
            <w:pPr>
              <w:pStyle w:val="72"/>
              <w:spacing w:line="360" w:lineRule="auto"/>
              <w:ind w:left="105" w:leftChars="50"/>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《制冷与供热用机械制冷系统安全要求》</w:t>
            </w:r>
          </w:p>
        </w:tc>
      </w:tr>
    </w:tbl>
    <w:p>
      <w:pPr>
        <w:spacing w:line="360" w:lineRule="auto"/>
        <w:ind w:firstLine="420" w:firstLineChars="200"/>
        <w:jc w:val="center"/>
        <w:rPr>
          <w:rFonts w:asciiTheme="minorEastAsia" w:hAnsiTheme="minorEastAsia" w:cstheme="minorEastAsia"/>
          <w:szCs w:val="21"/>
          <w:highlight w:val="none"/>
        </w:rPr>
      </w:pPr>
    </w:p>
    <w:p>
      <w:pPr>
        <w:spacing w:line="360" w:lineRule="auto"/>
        <w:ind w:firstLine="420" w:firstLineChars="20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表3.3 瑞纳自定义测试工况</w:t>
      </w:r>
    </w:p>
    <w:p>
      <w:pPr>
        <w:pStyle w:val="7"/>
        <w:spacing w:before="153" w:line="360" w:lineRule="auto"/>
        <w:ind w:firstLine="525" w:firstLineChars="2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本实验室所测试工况除了满足标准以外还需满足以下工况：</w:t>
      </w:r>
    </w:p>
    <w:tbl>
      <w:tblPr>
        <w:tblStyle w:val="20"/>
        <w:tblW w:w="0" w:type="auto"/>
        <w:jc w:val="center"/>
        <w:tblLayout w:type="autofit"/>
        <w:tblCellMar>
          <w:top w:w="0" w:type="dxa"/>
          <w:left w:w="108" w:type="dxa"/>
          <w:bottom w:w="0" w:type="dxa"/>
          <w:right w:w="108" w:type="dxa"/>
        </w:tblCellMar>
      </w:tblPr>
      <w:tblGrid>
        <w:gridCol w:w="1056"/>
        <w:gridCol w:w="1056"/>
        <w:gridCol w:w="1476"/>
        <w:gridCol w:w="1476"/>
        <w:gridCol w:w="1476"/>
        <w:gridCol w:w="1476"/>
      </w:tblGrid>
      <w:tr>
        <w:tblPrEx>
          <w:tblCellMar>
            <w:top w:w="0" w:type="dxa"/>
            <w:left w:w="108" w:type="dxa"/>
            <w:bottom w:w="0" w:type="dxa"/>
            <w:right w:w="108" w:type="dxa"/>
          </w:tblCellMar>
        </w:tblPrEx>
        <w:trPr>
          <w:trHeight w:val="501"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场景</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工况</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蒸发侧</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冷凝侧</w:t>
            </w:r>
          </w:p>
        </w:tc>
      </w:tr>
      <w:tr>
        <w:tblPrEx>
          <w:tblCellMar>
            <w:top w:w="0" w:type="dxa"/>
            <w:left w:w="108" w:type="dxa"/>
            <w:bottom w:w="0" w:type="dxa"/>
            <w:right w:w="108" w:type="dxa"/>
          </w:tblCellMar>
        </w:tblPrEx>
        <w:trPr>
          <w:trHeight w:val="50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cstheme="minorEastAsia"/>
                <w:szCs w:val="21"/>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cstheme="minorEastAsia"/>
                <w:szCs w:val="21"/>
                <w:highlight w:val="none"/>
              </w:rPr>
            </w:pPr>
          </w:p>
        </w:tc>
        <w:tc>
          <w:tcPr>
            <w:tcW w:w="0" w:type="auto"/>
            <w:tcBorders>
              <w:top w:val="nil"/>
              <w:left w:val="nil"/>
              <w:bottom w:val="nil"/>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进水温度  ℃</w:t>
            </w:r>
          </w:p>
        </w:tc>
        <w:tc>
          <w:tcPr>
            <w:tcW w:w="0" w:type="auto"/>
            <w:tcBorders>
              <w:top w:val="nil"/>
              <w:left w:val="nil"/>
              <w:bottom w:val="nil"/>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出水温度  ℃</w:t>
            </w:r>
          </w:p>
        </w:tc>
        <w:tc>
          <w:tcPr>
            <w:tcW w:w="0" w:type="auto"/>
            <w:tcBorders>
              <w:top w:val="nil"/>
              <w:left w:val="nil"/>
              <w:bottom w:val="nil"/>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进水温度  ℃</w:t>
            </w:r>
          </w:p>
        </w:tc>
        <w:tc>
          <w:tcPr>
            <w:tcW w:w="0" w:type="auto"/>
            <w:tcBorders>
              <w:top w:val="nil"/>
              <w:left w:val="nil"/>
              <w:bottom w:val="nil"/>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出水温度  ℃</w:t>
            </w:r>
          </w:p>
        </w:tc>
      </w:tr>
      <w:tr>
        <w:tblPrEx>
          <w:tblCellMar>
            <w:top w:w="0" w:type="dxa"/>
            <w:left w:w="108" w:type="dxa"/>
            <w:bottom w:w="0" w:type="dxa"/>
            <w:right w:w="108" w:type="dxa"/>
          </w:tblCellMar>
        </w:tblPrEx>
        <w:trPr>
          <w:trHeight w:val="501"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增供模式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额定</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45</w:t>
            </w:r>
          </w:p>
        </w:tc>
      </w:tr>
      <w:tr>
        <w:tblPrEx>
          <w:tblCellMar>
            <w:top w:w="0" w:type="dxa"/>
            <w:left w:w="108" w:type="dxa"/>
            <w:bottom w:w="0" w:type="dxa"/>
            <w:right w:w="108" w:type="dxa"/>
          </w:tblCellMar>
        </w:tblPrEx>
        <w:trPr>
          <w:trHeight w:val="50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cstheme="minorEastAsia"/>
                <w:szCs w:val="21"/>
                <w:highlight w:val="none"/>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过负荷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50</w:t>
            </w:r>
          </w:p>
        </w:tc>
      </w:tr>
      <w:tr>
        <w:tblPrEx>
          <w:tblCellMar>
            <w:top w:w="0" w:type="dxa"/>
            <w:left w:w="108" w:type="dxa"/>
            <w:bottom w:w="0" w:type="dxa"/>
            <w:right w:w="108" w:type="dxa"/>
          </w:tblCellMar>
        </w:tblPrEx>
        <w:trPr>
          <w:trHeight w:val="50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cstheme="minorEastAsia"/>
                <w:szCs w:val="21"/>
                <w:highlight w:val="none"/>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低负荷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w:t>
            </w:r>
          </w:p>
        </w:tc>
      </w:tr>
      <w:tr>
        <w:tblPrEx>
          <w:tblCellMar>
            <w:top w:w="0" w:type="dxa"/>
            <w:left w:w="108" w:type="dxa"/>
            <w:bottom w:w="0" w:type="dxa"/>
            <w:right w:w="108" w:type="dxa"/>
          </w:tblCellMar>
        </w:tblPrEx>
        <w:trPr>
          <w:trHeight w:val="501"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直供模式</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额定工况</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55</w:t>
            </w:r>
          </w:p>
        </w:tc>
      </w:tr>
    </w:tbl>
    <w:p>
      <w:pPr>
        <w:pStyle w:val="58"/>
        <w:numPr>
          <w:ilvl w:val="0"/>
          <w:numId w:val="28"/>
        </w:numPr>
        <w:tabs>
          <w:tab w:val="left" w:pos="461"/>
          <w:tab w:val="left" w:pos="462"/>
        </w:tabs>
        <w:spacing w:before="162"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测试方法：</w:t>
      </w:r>
    </w:p>
    <w:p>
      <w:pPr>
        <w:pStyle w:val="7"/>
        <w:spacing w:before="153" w:line="360" w:lineRule="auto"/>
        <w:ind w:firstLine="525" w:firstLineChars="2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冷凝器侧采用液体载冷剂法</w:t>
      </w:r>
    </w:p>
    <w:p>
      <w:pPr>
        <w:pStyle w:val="7"/>
        <w:spacing w:before="153" w:line="360" w:lineRule="auto"/>
        <w:ind w:firstLine="525" w:firstLineChars="2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蒸发器侧采用机组热平衡法</w:t>
      </w:r>
    </w:p>
    <w:p>
      <w:pPr>
        <w:pStyle w:val="58"/>
        <w:numPr>
          <w:ilvl w:val="0"/>
          <w:numId w:val="28"/>
        </w:numPr>
        <w:tabs>
          <w:tab w:val="left" w:pos="461"/>
          <w:tab w:val="left" w:pos="462"/>
        </w:tabs>
        <w:spacing w:before="162"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水温运行范围： 7～60℃。</w:t>
      </w:r>
    </w:p>
    <w:p>
      <w:pPr>
        <w:pStyle w:val="58"/>
        <w:numPr>
          <w:ilvl w:val="0"/>
          <w:numId w:val="28"/>
        </w:numPr>
        <w:tabs>
          <w:tab w:val="left" w:pos="461"/>
          <w:tab w:val="left" w:pos="462"/>
        </w:tabs>
        <w:spacing w:before="162"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实验偏差要求：</w:t>
      </w:r>
    </w:p>
    <w:tbl>
      <w:tblPr>
        <w:tblStyle w:val="20"/>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4"/>
        <w:gridCol w:w="2646"/>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2646"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最大变动幅度</w:t>
            </w:r>
          </w:p>
        </w:tc>
        <w:tc>
          <w:tcPr>
            <w:tcW w:w="2143"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平均变动幅度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稳态进水温度</w:t>
            </w:r>
          </w:p>
        </w:tc>
        <w:tc>
          <w:tcPr>
            <w:tcW w:w="2646"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±0.3℃</w:t>
            </w:r>
          </w:p>
        </w:tc>
        <w:tc>
          <w:tcPr>
            <w:tcW w:w="2143"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流量测量</w:t>
            </w:r>
          </w:p>
        </w:tc>
        <w:tc>
          <w:tcPr>
            <w:tcW w:w="2646"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0.5级</w:t>
            </w:r>
          </w:p>
        </w:tc>
        <w:tc>
          <w:tcPr>
            <w:tcW w:w="2143"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水压差</w:t>
            </w:r>
          </w:p>
        </w:tc>
        <w:tc>
          <w:tcPr>
            <w:tcW w:w="2646"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0.5级</w:t>
            </w:r>
          </w:p>
        </w:tc>
        <w:tc>
          <w:tcPr>
            <w:tcW w:w="2143"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重复性及台位偏差</w:t>
            </w:r>
          </w:p>
        </w:tc>
        <w:tc>
          <w:tcPr>
            <w:tcW w:w="2646"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测试精度</w:t>
            </w:r>
            <w:r>
              <w:rPr>
                <w:rFonts w:hint="eastAsia" w:asciiTheme="minorEastAsia" w:hAnsiTheme="minorEastAsia" w:cstheme="minorEastAsia"/>
                <w:szCs w:val="21"/>
                <w:highlight w:val="none"/>
              </w:rPr>
              <w:sym w:font="Symbol" w:char="F0A3"/>
            </w:r>
            <w:r>
              <w:rPr>
                <w:rFonts w:hint="eastAsia" w:asciiTheme="minorEastAsia" w:hAnsiTheme="minorEastAsia" w:cstheme="minorEastAsia"/>
                <w:szCs w:val="21"/>
                <w:highlight w:val="none"/>
              </w:rPr>
              <w:t>2.0％</w:t>
            </w:r>
          </w:p>
        </w:tc>
        <w:tc>
          <w:tcPr>
            <w:tcW w:w="2143"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重复性精度</w:t>
            </w:r>
            <w:r>
              <w:rPr>
                <w:rFonts w:hint="eastAsia" w:asciiTheme="minorEastAsia" w:hAnsiTheme="minorEastAsia" w:cstheme="minorEastAsia"/>
                <w:szCs w:val="21"/>
                <w:highlight w:val="none"/>
              </w:rPr>
              <w:sym w:font="Symbol" w:char="F0A3"/>
            </w:r>
            <w:r>
              <w:rPr>
                <w:rFonts w:hint="eastAsia" w:asciiTheme="minorEastAsia" w:hAnsiTheme="minorEastAsia" w:cstheme="minorEastAsia"/>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94"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水流量法测试结果与载冷剂法测试相差</w:t>
            </w:r>
          </w:p>
        </w:tc>
        <w:tc>
          <w:tcPr>
            <w:tcW w:w="4789" w:type="dxa"/>
            <w:gridSpan w:val="2"/>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不超过±3％</w:t>
            </w:r>
          </w:p>
        </w:tc>
      </w:tr>
    </w:tbl>
    <w:p>
      <w:pPr>
        <w:pStyle w:val="7"/>
        <w:spacing w:line="360" w:lineRule="auto"/>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注：</w:t>
      </w:r>
    </w:p>
    <w:p>
      <w:pPr>
        <w:pStyle w:val="7"/>
        <w:spacing w:line="360" w:lineRule="auto"/>
        <w:ind w:left="420" w:left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重复性：一次性装机，三次不同测试，制冷量测量值与平均值偏差≤±2.0%；</w:t>
      </w:r>
    </w:p>
    <w:p>
      <w:pPr>
        <w:pStyle w:val="7"/>
        <w:spacing w:line="360" w:lineRule="auto"/>
        <w:ind w:left="420" w:left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台  差：两个台位测试同一款机型的制冷/制热量偏差≤±2.0%。</w:t>
      </w:r>
    </w:p>
    <w:p>
      <w:pPr>
        <w:pStyle w:val="58"/>
        <w:numPr>
          <w:ilvl w:val="0"/>
          <w:numId w:val="28"/>
        </w:numPr>
        <w:tabs>
          <w:tab w:val="left" w:pos="462"/>
        </w:tabs>
        <w:spacing w:before="162"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补水及配电总量</w:t>
      </w:r>
    </w:p>
    <w:p>
      <w:pPr>
        <w:pStyle w:val="7"/>
        <w:spacing w:before="170" w:line="360" w:lineRule="auto"/>
        <w:ind w:left="420" w:leftChars="20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被测机型号一：</w:t>
      </w:r>
    </w:p>
    <w:p>
      <w:pPr>
        <w:pStyle w:val="7"/>
        <w:spacing w:before="170" w:line="360" w:lineRule="auto"/>
        <w:ind w:left="420" w:leftChars="20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试验装置总补水量：1000</w:t>
      </w:r>
      <w:r>
        <w:rPr>
          <w:rFonts w:hint="eastAsia" w:asciiTheme="minorEastAsia" w:hAnsiTheme="minorEastAsia" w:eastAsiaTheme="minorEastAsia" w:cstheme="minorEastAsia"/>
          <w:spacing w:val="-5"/>
          <w:sz w:val="21"/>
          <w:szCs w:val="21"/>
          <w:highlight w:val="none"/>
        </w:rPr>
        <w:t xml:space="preserve"> </w:t>
      </w:r>
      <w:r>
        <w:rPr>
          <w:rFonts w:hint="eastAsia" w:asciiTheme="minorEastAsia" w:hAnsiTheme="minorEastAsia" w:eastAsiaTheme="minorEastAsia" w:cstheme="minorEastAsia"/>
          <w:sz w:val="21"/>
          <w:szCs w:val="21"/>
          <w:highlight w:val="none"/>
        </w:rPr>
        <w:t xml:space="preserve">kg/h； </w:t>
      </w:r>
    </w:p>
    <w:p>
      <w:pPr>
        <w:pStyle w:val="7"/>
        <w:spacing w:before="170" w:line="360" w:lineRule="auto"/>
        <w:ind w:left="420" w:leftChars="200" w:firstLine="40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5"/>
          <w:sz w:val="21"/>
          <w:szCs w:val="21"/>
          <w:highlight w:val="none"/>
        </w:rPr>
        <w:t xml:space="preserve">试验装置总配电负荷：三相 </w:t>
      </w:r>
      <w:r>
        <w:rPr>
          <w:rFonts w:hint="eastAsia" w:asciiTheme="minorEastAsia" w:hAnsiTheme="minorEastAsia" w:eastAsiaTheme="minorEastAsia" w:cstheme="minorEastAsia"/>
          <w:sz w:val="21"/>
          <w:szCs w:val="21"/>
          <w:highlight w:val="none"/>
        </w:rPr>
        <w:t>380</w:t>
      </w:r>
      <w:r>
        <w:rPr>
          <w:rFonts w:hint="eastAsia" w:asciiTheme="minorEastAsia" w:hAnsiTheme="minorEastAsia" w:eastAsiaTheme="minorEastAsia" w:cstheme="minorEastAsia"/>
          <w:spacing w:val="1"/>
          <w:sz w:val="21"/>
          <w:szCs w:val="21"/>
          <w:highlight w:val="none"/>
        </w:rPr>
        <w:t xml:space="preserve"> </w:t>
      </w:r>
      <w:r>
        <w:rPr>
          <w:rFonts w:hint="eastAsia" w:asciiTheme="minorEastAsia" w:hAnsiTheme="minorEastAsia" w:eastAsiaTheme="minorEastAsia" w:cstheme="minorEastAsia"/>
          <w:sz w:val="21"/>
          <w:szCs w:val="21"/>
          <w:highlight w:val="none"/>
        </w:rPr>
        <w:t>VAC，50Hz， 550kW；</w:t>
      </w:r>
    </w:p>
    <w:p>
      <w:pPr>
        <w:pStyle w:val="7"/>
        <w:spacing w:before="170" w:line="360" w:lineRule="auto"/>
        <w:ind w:left="420" w:leftChars="20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被测机型号二：</w:t>
      </w:r>
    </w:p>
    <w:p>
      <w:pPr>
        <w:pStyle w:val="7"/>
        <w:spacing w:before="170" w:line="360" w:lineRule="auto"/>
        <w:ind w:left="420" w:leftChars="20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试验装置总补水量：3000</w:t>
      </w:r>
      <w:r>
        <w:rPr>
          <w:rFonts w:hint="eastAsia" w:asciiTheme="minorEastAsia" w:hAnsiTheme="minorEastAsia" w:eastAsiaTheme="minorEastAsia" w:cstheme="minorEastAsia"/>
          <w:spacing w:val="-5"/>
          <w:sz w:val="21"/>
          <w:szCs w:val="21"/>
          <w:highlight w:val="none"/>
        </w:rPr>
        <w:t xml:space="preserve"> </w:t>
      </w:r>
      <w:r>
        <w:rPr>
          <w:rFonts w:hint="eastAsia" w:asciiTheme="minorEastAsia" w:hAnsiTheme="minorEastAsia" w:eastAsiaTheme="minorEastAsia" w:cstheme="minorEastAsia"/>
          <w:sz w:val="21"/>
          <w:szCs w:val="21"/>
          <w:highlight w:val="none"/>
        </w:rPr>
        <w:t xml:space="preserve">kg/h； </w:t>
      </w:r>
    </w:p>
    <w:p>
      <w:pPr>
        <w:pStyle w:val="7"/>
        <w:spacing w:before="170" w:line="360" w:lineRule="auto"/>
        <w:ind w:left="420" w:leftChars="200" w:firstLine="40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pacing w:val="-5"/>
          <w:sz w:val="21"/>
          <w:szCs w:val="21"/>
          <w:highlight w:val="none"/>
        </w:rPr>
        <w:t xml:space="preserve">试验装置总配电负荷：三相 </w:t>
      </w:r>
      <w:r>
        <w:rPr>
          <w:rFonts w:hint="eastAsia" w:asciiTheme="minorEastAsia" w:hAnsiTheme="minorEastAsia" w:eastAsiaTheme="minorEastAsia" w:cstheme="minorEastAsia"/>
          <w:sz w:val="21"/>
          <w:szCs w:val="21"/>
          <w:highlight w:val="none"/>
        </w:rPr>
        <w:t>380</w:t>
      </w:r>
      <w:r>
        <w:rPr>
          <w:rFonts w:hint="eastAsia" w:asciiTheme="minorEastAsia" w:hAnsiTheme="minorEastAsia" w:eastAsiaTheme="minorEastAsia" w:cstheme="minorEastAsia"/>
          <w:spacing w:val="1"/>
          <w:sz w:val="21"/>
          <w:szCs w:val="21"/>
          <w:highlight w:val="none"/>
        </w:rPr>
        <w:t xml:space="preserve"> </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VAC，50Hz， 1200kW。 </w:t>
      </w:r>
    </w:p>
    <w:p>
      <w:pPr>
        <w:spacing w:line="360" w:lineRule="auto"/>
        <w:ind w:left="102"/>
        <w:rPr>
          <w:rFonts w:asciiTheme="minorEastAsia" w:hAnsiTheme="minorEastAsia" w:cstheme="minorEastAsia"/>
          <w:b/>
          <w:bCs/>
          <w:spacing w:val="39"/>
          <w:szCs w:val="21"/>
          <w:highlight w:val="none"/>
        </w:rPr>
      </w:pPr>
      <w:r>
        <w:rPr>
          <w:rFonts w:hint="eastAsia" w:asciiTheme="minorEastAsia" w:hAnsiTheme="minorEastAsia" w:cstheme="minorEastAsia"/>
          <w:b/>
          <w:bCs/>
          <w:spacing w:val="39"/>
          <w:szCs w:val="21"/>
          <w:highlight w:val="none"/>
        </w:rPr>
        <w:t xml:space="preserve">四）实验室总体要求 </w:t>
      </w:r>
    </w:p>
    <w:p>
      <w:pPr>
        <w:spacing w:line="360" w:lineRule="auto"/>
        <w:ind w:left="420" w:leftChars="200"/>
        <w:rPr>
          <w:rFonts w:asciiTheme="minorEastAsia" w:hAnsiTheme="minorEastAsia" w:cstheme="minorEastAsia"/>
          <w:b/>
          <w:szCs w:val="21"/>
          <w:highlight w:val="none"/>
        </w:rPr>
      </w:pPr>
      <w:r>
        <w:rPr>
          <w:rFonts w:hint="eastAsia" w:asciiTheme="minorEastAsia" w:hAnsiTheme="minorEastAsia" w:cstheme="minorEastAsia"/>
          <w:b/>
          <w:szCs w:val="21"/>
          <w:highlight w:val="none"/>
        </w:rPr>
        <w:t>4.1系统方案整体要求：</w:t>
      </w:r>
    </w:p>
    <w:p>
      <w:pPr>
        <w:spacing w:line="360" w:lineRule="auto"/>
        <w:ind w:left="420" w:leftChars="200" w:firstLine="420" w:firstLineChars="200"/>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4.1.1系统原理：</w:t>
      </w:r>
    </w:p>
    <w:p>
      <w:pPr>
        <w:spacing w:line="360" w:lineRule="auto"/>
        <w:ind w:left="420" w:leftChars="20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试验装置由冷冻水和冷却水两个水循环管路组成，被试机器的冷冻水和冷却水通过混合管路进行充分的热交换，达到全部冷量回收的目的，多余热量通过冷却塔进行散热。</w:t>
      </w:r>
    </w:p>
    <w:p>
      <w:pPr>
        <w:spacing w:line="360" w:lineRule="auto"/>
        <w:ind w:left="420" w:leftChars="20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水箱通过板式换热器与冷却塔循环水系统进行换热冷却，热泵工况试验时水箱侧高温水通过板式换热器的二次换热，可以降低冷却塔的进水温度，保证冷却塔的正常运行。</w:t>
      </w:r>
    </w:p>
    <w:p>
      <w:pPr>
        <w:spacing w:line="360" w:lineRule="auto"/>
        <w:ind w:left="420" w:leftChars="20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为测量热泵机组每台压缩机的功率，配备稳压电源分别为压缩机供电，上述类型热泵高电压机组也需配备两套高压供电系统。</w:t>
      </w:r>
    </w:p>
    <w:p>
      <w:pPr>
        <w:spacing w:line="360" w:lineRule="auto"/>
        <w:ind w:left="420" w:leftChars="20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试验系统设计需同时满足表3.1及表3.3测试工况需求。</w:t>
      </w:r>
    </w:p>
    <w:p>
      <w:pPr>
        <w:spacing w:line="360" w:lineRule="auto"/>
        <w:ind w:left="420" w:leftChars="200" w:firstLine="420" w:firstLineChars="200"/>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4.1.2数据采集和处理：</w:t>
      </w:r>
    </w:p>
    <w:p>
      <w:pPr>
        <w:pStyle w:val="11"/>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数据采集系统由计算机和数据采集器、传感器构成。它们共同完成所有信号的采集和处理。</w:t>
      </w:r>
    </w:p>
    <w:p>
      <w:pPr>
        <w:pStyle w:val="11"/>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软件在中文WINDOWS平台下运行，本测试软件主要有以下几个功能：</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设置各种试验工况参数并传送至数字调节器，由调节器完成试验工况各参数的调节。</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输入被试样机各种参数。</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屏幕显示：</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流程及控制参数的动态显示；</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各测量和计算参数的显示，可以实时计算并显示机组的过冷度和过热度；</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各类数据的趋势曲线，可显示打印及保存多种曲线，曲线坐标范围由操作员任意设置。每点曲线数据可根据鼠标位置提示显示，热电偶的辅助数据名称可由操作员设定输入及保存，提示数据的可读性及以后的查找；</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数据处理，控制操作显示直观快速，在需要时可切换至手动进行控制调节；</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主要曲线放置于同一图面内，并可根据需要进行增减并改变曲线颜色，具体曲线名称由甲方提供；</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自动判稳,自动记录数据,自动计算结果并存档；</w:t>
      </w:r>
    </w:p>
    <w:p>
      <w:pPr>
        <w:pStyle w:val="11"/>
        <w:numPr>
          <w:ilvl w:val="0"/>
          <w:numId w:val="30"/>
        </w:numPr>
        <w:spacing w:after="0" w:line="360" w:lineRule="auto"/>
        <w:ind w:left="420"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非稳态所有参数均记录并进行计算，可以任意设定起止时间进行各种参数平均值的计算。</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打印并保存各类试验报告及曲线。</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各种历史数据图形分析和曲线打印输出。</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测试系统参数管理。</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用户开放的数据库结构，可方便地实现数据共享。</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调节器和各主要仪表状态的自动恢复。</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温度及压力传感器的标定数据可根据计量数据进行设定。</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每组测试报告的测试时间可任意进行设定。</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判稳偏差可任意设定。</w:t>
      </w:r>
    </w:p>
    <w:p>
      <w:pPr>
        <w:pStyle w:val="11"/>
        <w:numPr>
          <w:ilvl w:val="0"/>
          <w:numId w:val="29"/>
        </w:numPr>
        <w:tabs>
          <w:tab w:val="left" w:pos="0"/>
        </w:tabs>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水侧制冷量可根据标定结果通过软件进行修正。</w:t>
      </w:r>
    </w:p>
    <w:p>
      <w:pPr>
        <w:pStyle w:val="11"/>
        <w:spacing w:after="0" w:line="360" w:lineRule="auto"/>
        <w:ind w:left="860" w:leftChars="0" w:right="414" w:rightChars="197"/>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4.1.3本试验装置具备的特点：</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测量准确稳定。</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工况设置和调节器操作直观方便。</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仪表和采集系统的设置自动恢复。</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先进可靠的仪表控制设备，故障率很小。</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丰富的选择项目，功能配置更加灵活。可根据需要选择附件，增加各种功能。</w:t>
      </w:r>
    </w:p>
    <w:p>
      <w:pPr>
        <w:pStyle w:val="11"/>
        <w:numPr>
          <w:ilvl w:val="0"/>
          <w:numId w:val="31"/>
        </w:numPr>
        <w:spacing w:after="0"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用户开放的ACCESS 数据库结构，后处理数据更加方便。</w:t>
      </w:r>
    </w:p>
    <w:p>
      <w:pPr>
        <w:spacing w:line="360" w:lineRule="auto"/>
        <w:ind w:left="420" w:leftChars="200"/>
        <w:rPr>
          <w:rFonts w:asciiTheme="minorEastAsia" w:hAnsiTheme="minorEastAsia" w:cstheme="minorEastAsia"/>
          <w:b/>
          <w:szCs w:val="21"/>
          <w:highlight w:val="none"/>
        </w:rPr>
      </w:pPr>
      <w:r>
        <w:rPr>
          <w:rFonts w:hint="eastAsia" w:asciiTheme="minorEastAsia" w:hAnsiTheme="minorEastAsia" w:cstheme="minorEastAsia"/>
          <w:b/>
          <w:szCs w:val="21"/>
          <w:highlight w:val="none"/>
        </w:rPr>
        <w:t>4.2设备总体要求</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456"/>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85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3636"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测试工况</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标准规定的名义工况、部分负荷性能、最大负荷、最小负荷、低温工况、瑞纳自定义工况；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测试参数</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制冷（热）量，制冷（热）消耗功率，性能系数，机组系统温度、压力、冷冻水、冷却水。</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被测机电参数：电压，电流，功率，频率，功率因数，三相不平衡率。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自动化测试</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冻、冷却水温设定好之后，实验室可自动调节达到工况条件，国标制冷和制热工况可无人值守（变工况除外），测试状态随时可查，并可上传上位机；根据测试需求全自动开启设备、通过远程信号开启被试机、调试试验、自动保存输出上传报告，自动进入下一工况、停被试机、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节能设计</w:t>
            </w:r>
          </w:p>
        </w:tc>
        <w:tc>
          <w:tcPr>
            <w:tcW w:w="3636"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冷媒水侧和冷冻水侧选用变频水泵或三通调节阀兑水进行部分冷热量的平衡，多余的热量通过冷却塔散热或冷水机组（有需要时可通过管路切换实现）， 满足工况的平衡稳定。</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设备用电与被测机用电应分开计量，方便甲方后期用电数据统计与分析。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被测机电缆布置</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各台位被测机高低压出线通过悬臂吊引出并在悬臂吊上安装接线端子盒，端子盒上需带有送电指示灯，被测机低压进线要求分组送电,不允许送电后未使用电缆带电，并配置同等数量及合适长度的出现低压线缆，保证未使用时线缆不能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地面与墙面</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测试区地面采用防滑钢板（厚8-10mm及以上）铺设刷漆并采用合理的排水设计，水密子采用10mm或以上钢板加工成型；</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测试区与设备区之间修建砖墙，墙面采用白色瓷砖（参考其他实验台）。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外观与标识</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设备间管路阀门设备（原色铝皮+走向标识+阀门状态标识+设备标识），环氧树脂地面（油漆区域划分）均需做可参观维护性处理（附图1）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保温要求</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保温层外包铝皮，冷冻水、冷却水管道0℃不能有凝结水。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冷水机组</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由甲方提供水冷机组，乙方负责提供设备性能要求，以及泵体及各管道对接、安装。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854"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设计需求</w:t>
            </w:r>
          </w:p>
        </w:tc>
        <w:tc>
          <w:tcPr>
            <w:tcW w:w="3636"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全部采用三维设计转化平面</w:t>
            </w:r>
          </w:p>
        </w:tc>
      </w:tr>
    </w:tbl>
    <w:p>
      <w:pPr>
        <w:spacing w:before="142" w:line="360" w:lineRule="auto"/>
        <w:ind w:left="102"/>
        <w:rPr>
          <w:rFonts w:asciiTheme="minorEastAsia" w:hAnsiTheme="minorEastAsia" w:cstheme="minorEastAsia"/>
          <w:b/>
          <w:bCs/>
          <w:szCs w:val="21"/>
          <w:highlight w:val="none"/>
        </w:rPr>
      </w:pPr>
      <w:r>
        <w:rPr>
          <w:rFonts w:hint="eastAsia" w:asciiTheme="minorEastAsia" w:hAnsiTheme="minorEastAsia" w:cstheme="minorEastAsia"/>
          <w:b/>
          <w:bCs/>
          <w:spacing w:val="39"/>
          <w:szCs w:val="21"/>
          <w:highlight w:val="none"/>
        </w:rPr>
        <w:t>五）</w:t>
      </w:r>
      <w:r>
        <w:rPr>
          <w:rFonts w:hint="eastAsia" w:asciiTheme="minorEastAsia" w:hAnsiTheme="minorEastAsia" w:cstheme="minorEastAsia"/>
          <w:b/>
          <w:bCs/>
          <w:szCs w:val="21"/>
          <w:highlight w:val="none"/>
        </w:rPr>
        <w:t xml:space="preserve">设备主要配置要求 </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479"/>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3698"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流量计</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品牌：日本横河/艾默生/科隆，</w:t>
            </w:r>
            <w:r>
              <w:rPr>
                <w:rStyle w:val="74"/>
                <w:rFonts w:asciiTheme="minorEastAsia" w:hAnsiTheme="minorEastAsia" w:eastAsiaTheme="minorEastAsia" w:cstheme="minorEastAsia"/>
                <w:sz w:val="21"/>
                <w:szCs w:val="21"/>
                <w:highlight w:val="none"/>
              </w:rPr>
              <w:t>测量精度：±0.5%，带液晶显示，须满足本技术要求的温度测量范围，满足低温温度和抗腐蚀的要求，同时流量计须满足在此时溶液粘度下的测量准确性；</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 xml:space="preserve">提供1年以上有效期的流量计计量证书。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数据采集器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品牌：日本横河/Keysight，型号：GM10/34970系列</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测量输入类型：DCV、TC、RTD、应变 预留至少8个通道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数字显示调节器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品牌：日本横河/山武，精度：±0.1%，型号：UT35A/SDC36。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电能表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品牌：日本横河，型号：WT333系列；</w:t>
            </w:r>
          </w:p>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精度：±0.5%，带电能积算功能。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调功器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品牌：希曼顿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电流互感器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品牌：彼爱琪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采样电阻</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品牌：日本横河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T型热电偶线</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品牌：上自或等同质量品牌，长度2000米，精度±0.5℃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进出水温度传感器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品牌：千野，规格：PT100，精度±0.1℃，出线端头有不锈钢弹簧丝保护，长度须满足插入水管的中间位置。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压力传感器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品牌：Microsensor或等同品牌，精度：±0.25%FS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压差传感器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品牌：川仪或等同品牌，精度：±0.5%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可编程控制器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品牌：OMRON/西门子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触摸屏</w:t>
            </w:r>
          </w:p>
        </w:tc>
        <w:tc>
          <w:tcPr>
            <w:tcW w:w="3698" w:type="pct"/>
            <w:vAlign w:val="center"/>
          </w:tcPr>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品牌：威纶/Proface，规格型号：10.4英寸及以上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变频调速器</w:t>
            </w:r>
          </w:p>
        </w:tc>
        <w:tc>
          <w:tcPr>
            <w:tcW w:w="369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品牌：丹佛斯/</w:t>
            </w:r>
            <w:r>
              <w:rPr>
                <w:rFonts w:hint="eastAsia" w:asciiTheme="minorEastAsia" w:hAnsiTheme="minorEastAsia" w:cstheme="minorEastAsia"/>
                <w:szCs w:val="21"/>
                <w:highlight w:val="none"/>
              </w:rPr>
              <w:t xml:space="preserve"> ABB</w:t>
            </w:r>
            <w:r>
              <w:rPr>
                <w:rStyle w:val="74"/>
                <w:rFonts w:asciiTheme="minorEastAsia" w:hAnsiTheme="minorEastAsia" w:eastAsiaTheme="minorEastAsia" w:cstheme="minorEastAsia"/>
                <w:sz w:val="21"/>
                <w:szCs w:val="21"/>
                <w:highlight w:val="none"/>
              </w:rPr>
              <w:t xml:space="preserve"> /博世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稳压电源</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品牌：艾诺/思普/精华，规格：5000kW测试台不低于1500kVA，800kW测试台不低于500kVA，三相统调，调压范围±15%，无触点式，避免碳刷与铜柱的磨损。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16</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空气开关（含智能断路器）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品牌：施耐德/西门子/ABB/LS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17</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接触器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品牌：施耐德/西门子/ABB/LS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18</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水泵</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品牌：凯泉/南方，机械密封，电机绝缘F级或以上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19</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冷却管道</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材质：镀锌钢管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20</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冷冻管道</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材质：镀锌钢管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21</w:t>
            </w:r>
          </w:p>
        </w:tc>
        <w:tc>
          <w:tcPr>
            <w:tcW w:w="86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取样段（压力、温度）</w:t>
            </w:r>
          </w:p>
        </w:tc>
        <w:tc>
          <w:tcPr>
            <w:tcW w:w="3698" w:type="pct"/>
            <w:vAlign w:val="center"/>
          </w:tcPr>
          <w:p>
            <w:pPr>
              <w:widowControl/>
              <w:spacing w:line="360" w:lineRule="auto"/>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实验台的被测机进出水管管口处制作压力温度取样口，温度取样口采用盲管直接放入的方式，盲管要求采用不锈钢管。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22</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板式换热器</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品牌：同泽/唯益/宝德，</w:t>
            </w:r>
            <w:r>
              <w:rPr>
                <w:rStyle w:val="74"/>
                <w:rFonts w:asciiTheme="minorEastAsia" w:hAnsiTheme="minorEastAsia" w:eastAsiaTheme="minorEastAsia" w:cstheme="minorEastAsia"/>
                <w:sz w:val="21"/>
                <w:szCs w:val="21"/>
                <w:highlight w:val="none"/>
              </w:rPr>
              <w:t>配管时一次侧和二次侧入口处须安装过滤器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23</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气动阀门</w:t>
            </w:r>
          </w:p>
        </w:tc>
        <w:tc>
          <w:tcPr>
            <w:tcW w:w="3698" w:type="pct"/>
            <w:vAlign w:val="center"/>
          </w:tcPr>
          <w:p>
            <w:pPr>
              <w:widowControl/>
              <w:spacing w:line="360" w:lineRule="auto"/>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测试主管路阀门必须采用气动式阀门；</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品牌：塘沽/环球/南杭/沃特斯或等同质量品牌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电动阀门</w:t>
            </w:r>
          </w:p>
        </w:tc>
        <w:tc>
          <w:tcPr>
            <w:tcW w:w="3698" w:type="pct"/>
            <w:vAlign w:val="center"/>
          </w:tcPr>
          <w:p>
            <w:pPr>
              <w:widowControl/>
              <w:spacing w:line="360" w:lineRule="auto"/>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品牌：Tiger/Haqun或等同质量品牌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冷却塔</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品牌：良机或等同质量品牌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恒温水箱</w:t>
            </w:r>
          </w:p>
        </w:tc>
        <w:tc>
          <w:tcPr>
            <w:tcW w:w="3698" w:type="pct"/>
            <w:vAlign w:val="center"/>
          </w:tcPr>
          <w:p>
            <w:pPr>
              <w:widowControl/>
              <w:spacing w:line="360" w:lineRule="auto"/>
              <w:rPr>
                <w:rFonts w:asciiTheme="minorEastAsia" w:hAnsiTheme="minorEastAsia" w:cstheme="minorEastAsia"/>
                <w:color w:val="000000"/>
                <w:szCs w:val="21"/>
                <w:highlight w:val="none"/>
              </w:rPr>
            </w:pPr>
            <w:r>
              <w:rPr>
                <w:rStyle w:val="74"/>
                <w:rFonts w:asciiTheme="minorEastAsia" w:hAnsiTheme="minorEastAsia" w:eastAsiaTheme="minorEastAsia" w:cstheme="minorEastAsia"/>
                <w:sz w:val="21"/>
                <w:szCs w:val="21"/>
                <w:highlight w:val="none"/>
              </w:rPr>
              <w:t>箱体采用整体设计，内层采用2mm以上厚度的SUS304不锈钢材料，外层可选用1mm厚的优质SUS304不锈钢板，水箱夹层保温，保温材料采用应耐老化和阻燃式材料。水箱补水采用液位传感器自动控制电磁水阀进行，不用浮球阀，有效容积15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悬臂吊</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承重2.5吨，可上下左右移动。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测试连接软管及工装</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实验室进出水管道各配置一组不锈钢304软管，配置相应法兰连接工装，800kW测试台被试机接管尺寸为DN80/DN125，5000kW测试台被试机接管尺寸为DN200/DN350，每种规格准备4只温度压力区样段，并为每种规格取样段配备与测试台对接的变径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868" w:type="pct"/>
            <w:vAlign w:val="center"/>
          </w:tcPr>
          <w:p>
            <w:pPr>
              <w:widowControl/>
              <w:spacing w:line="360" w:lineRule="auto"/>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电缆</w:t>
            </w:r>
          </w:p>
        </w:tc>
        <w:tc>
          <w:tcPr>
            <w:tcW w:w="3698" w:type="pct"/>
            <w:vAlign w:val="center"/>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品牌：渝丰、南方、泰山或更优品牌，软线。</w:t>
            </w:r>
          </w:p>
        </w:tc>
      </w:tr>
    </w:tbl>
    <w:p>
      <w:pPr>
        <w:spacing w:before="142" w:line="360" w:lineRule="auto"/>
        <w:ind w:left="102"/>
        <w:rPr>
          <w:rFonts w:asciiTheme="minorEastAsia" w:hAnsiTheme="minorEastAsia" w:cstheme="minorEastAsia"/>
          <w:b/>
          <w:bCs/>
          <w:spacing w:val="39"/>
          <w:szCs w:val="21"/>
          <w:highlight w:val="none"/>
        </w:rPr>
      </w:pPr>
      <w:r>
        <w:rPr>
          <w:rFonts w:hint="eastAsia" w:asciiTheme="minorEastAsia" w:hAnsiTheme="minorEastAsia" w:cstheme="minorEastAsia"/>
          <w:b/>
          <w:bCs/>
          <w:spacing w:val="39"/>
          <w:szCs w:val="21"/>
          <w:highlight w:val="none"/>
        </w:rPr>
        <w:t>六）信息化要求</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456"/>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854" w:type="pct"/>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3636" w:type="pct"/>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硬件要求</w:t>
            </w:r>
          </w:p>
        </w:tc>
        <w:tc>
          <w:tcPr>
            <w:tcW w:w="3636"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可实时查看设备的故障信息及运行状态信息，并形成日志，可供随时查询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设备接口硬件要求</w:t>
            </w:r>
          </w:p>
        </w:tc>
        <w:tc>
          <w:tcPr>
            <w:tcW w:w="3636" w:type="pct"/>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预留以太网和RS485/RS232通讯接口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设备接口数据交互要求</w:t>
            </w:r>
          </w:p>
        </w:tc>
        <w:tc>
          <w:tcPr>
            <w:tcW w:w="3636"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免费开放设备的通信协议和程序数据地址，并配备相应的数据接口，为我司后期数据监控系统提供技术支持服务（后期无需收费）。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电脑与电源</w:t>
            </w:r>
          </w:p>
        </w:tc>
        <w:tc>
          <w:tcPr>
            <w:tcW w:w="3636"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主机：按市场最新配置提供，品牌：DELL/HP</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显示器型号：27”液晶以上，品牌：DELL/HP</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激光打印机规格：A4，品牌：HP</w:t>
            </w:r>
          </w:p>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不间断电源规格：1KVA，品牌：SANTAK</w:t>
            </w:r>
          </w:p>
        </w:tc>
      </w:tr>
    </w:tbl>
    <w:p>
      <w:pPr>
        <w:spacing w:before="142" w:line="360" w:lineRule="auto"/>
        <w:ind w:left="102"/>
        <w:rPr>
          <w:rFonts w:asciiTheme="minorEastAsia" w:hAnsiTheme="minorEastAsia" w:cstheme="minorEastAsia"/>
          <w:b/>
          <w:bCs/>
          <w:spacing w:val="39"/>
          <w:szCs w:val="21"/>
          <w:highlight w:val="none"/>
        </w:rPr>
      </w:pPr>
      <w:r>
        <w:rPr>
          <w:rFonts w:hint="eastAsia" w:asciiTheme="minorEastAsia" w:hAnsiTheme="minorEastAsia" w:cstheme="minorEastAsia"/>
          <w:b/>
          <w:bCs/>
          <w:spacing w:val="39"/>
          <w:szCs w:val="21"/>
          <w:highlight w:val="none"/>
        </w:rPr>
        <w:t>七）环保安全标准要求</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456"/>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854"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3636" w:type="pct"/>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854" w:type="pct"/>
            <w:vAlign w:val="center"/>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电气联锁和防护</w:t>
            </w:r>
          </w:p>
        </w:tc>
        <w:tc>
          <w:tcPr>
            <w:tcW w:w="3636"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有可靠的防触电防护保护，无外表触碰电的安全隐患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噪音、废水、废气</w:t>
            </w:r>
          </w:p>
        </w:tc>
        <w:tc>
          <w:tcPr>
            <w:tcW w:w="3636" w:type="pct"/>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按照行标、国标要求，设备噪音≤75dB（距离噪音源1～1.5米进行测量），废水、废气、固体废弃物的排放应符合国家标准及相关的行业标准。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防护要求</w:t>
            </w:r>
          </w:p>
        </w:tc>
        <w:tc>
          <w:tcPr>
            <w:tcW w:w="3636" w:type="pct"/>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设备的设计应具有高度的安全性、不能存在安全漏洞，在设备的危险位置（如机械啮合处、旋转处、运动处等可能涉及人身安全的位置）安装可靠的防护装置，贴有明显的警示标识，同时要求在说明书上标识, 非标警示标识要求在说明书上有样板。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设备转向标识</w:t>
            </w:r>
          </w:p>
        </w:tc>
        <w:tc>
          <w:tcPr>
            <w:tcW w:w="3636" w:type="pct"/>
          </w:tcPr>
          <w:p>
            <w:pPr>
              <w:widowControl/>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电机等施转设备加旋转标识。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854" w:type="pct"/>
            <w:vAlign w:val="center"/>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线路、管路及仪表走向标识</w:t>
            </w:r>
          </w:p>
        </w:tc>
        <w:tc>
          <w:tcPr>
            <w:tcW w:w="3636" w:type="pct"/>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应规范、合理，色彩须符合国家的相关标准，并有清晰的文字标识及流向标识，禁止杂乱交叉,设备阀门应标识在正常工作状态下，常开或常闭；设备仪表盘符合相关行业标准、国家标准，盘面应有区域颜色区别危险、正常、异常（红色代表危险区域、 黄色代表异常区域、绿色代表正常区域）。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制造规范</w:t>
            </w:r>
          </w:p>
        </w:tc>
        <w:tc>
          <w:tcPr>
            <w:tcW w:w="3636" w:type="pct"/>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设备设计制造必须符合国家及行业相关标准，防止误操作所引起的生产、质量、安全事故。如由于乙方设计、制造等缺陷所造成的安全事故及财产损失， 由乙方全部承担。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854" w:type="pct"/>
            <w:vAlign w:val="center"/>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安全标识</w:t>
            </w:r>
          </w:p>
        </w:tc>
        <w:tc>
          <w:tcPr>
            <w:tcW w:w="3636" w:type="pct"/>
          </w:tcPr>
          <w:p>
            <w:pPr>
              <w:widowControl/>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要求在设备的危险位置（机械啮合处、旋转处、运动处等涉及人身安全的位置）安装可靠的防护装置，贴有明显的警示标识，同时在说明书上标识；设备电机转向应标识清楚，在裸露的传动部位须加</w:t>
            </w:r>
            <w:r>
              <w:rPr>
                <w:rFonts w:hint="eastAsia" w:asciiTheme="minorEastAsia" w:hAnsiTheme="minorEastAsia" w:cstheme="minorEastAsia"/>
                <w:color w:val="000000"/>
                <w:szCs w:val="21"/>
                <w:highlight w:val="none"/>
              </w:rPr>
              <w:br w:type="textWrapping"/>
            </w:r>
            <w:r>
              <w:rPr>
                <w:rStyle w:val="74"/>
                <w:rFonts w:asciiTheme="minorEastAsia" w:hAnsiTheme="minorEastAsia" w:eastAsiaTheme="minorEastAsia" w:cstheme="minorEastAsia"/>
                <w:sz w:val="21"/>
                <w:szCs w:val="21"/>
                <w:highlight w:val="none"/>
              </w:rPr>
              <w:t>防护罩等保护装置。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保护装置</w:t>
            </w:r>
          </w:p>
        </w:tc>
        <w:tc>
          <w:tcPr>
            <w:tcW w:w="3636" w:type="pct"/>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所有设备的电动机须采用断电过热电流保护，水路系统断水水流保护，电加热干烧保护，电加热水位不足保护。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电控柜防护</w:t>
            </w:r>
          </w:p>
        </w:tc>
        <w:tc>
          <w:tcPr>
            <w:tcW w:w="3636"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系统布局需考虑电控柜防水、防潮，满足国家标准要求。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pct"/>
            <w:vAlign w:val="center"/>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854"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操作人员防护</w:t>
            </w:r>
          </w:p>
        </w:tc>
        <w:tc>
          <w:tcPr>
            <w:tcW w:w="3636" w:type="pct"/>
            <w:vAlign w:val="center"/>
          </w:tcPr>
          <w:p>
            <w:pPr>
              <w:widowControl/>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测试区人员站立区域需铺设不小于2米*1米的绝缘垫。</w:t>
            </w:r>
          </w:p>
        </w:tc>
      </w:tr>
    </w:tbl>
    <w:p>
      <w:pPr>
        <w:spacing w:before="142" w:line="360" w:lineRule="auto"/>
        <w:ind w:left="102"/>
        <w:jc w:val="left"/>
        <w:rPr>
          <w:rFonts w:asciiTheme="minorEastAsia" w:hAnsiTheme="minorEastAsia" w:cstheme="minorEastAsia"/>
          <w:b/>
          <w:bCs/>
          <w:spacing w:val="39"/>
          <w:szCs w:val="21"/>
          <w:highlight w:val="none"/>
        </w:rPr>
      </w:pPr>
      <w:r>
        <w:rPr>
          <w:rFonts w:hint="eastAsia" w:asciiTheme="minorEastAsia" w:hAnsiTheme="minorEastAsia" w:cstheme="minorEastAsia"/>
          <w:b/>
          <w:bCs/>
          <w:spacing w:val="39"/>
          <w:szCs w:val="21"/>
          <w:highlight w:val="none"/>
        </w:rPr>
        <w:t>八）设备技术资料及随机附件要求：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1417"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项目</w:t>
            </w:r>
          </w:p>
        </w:tc>
        <w:tc>
          <w:tcPr>
            <w:tcW w:w="6033"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417" w:type="dxa"/>
            <w:vAlign w:val="center"/>
          </w:tcPr>
          <w:p>
            <w:pPr>
              <w:widowControl/>
              <w:jc w:val="center"/>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设备资料</w:t>
            </w:r>
          </w:p>
        </w:tc>
        <w:tc>
          <w:tcPr>
            <w:tcW w:w="6033" w:type="dxa"/>
          </w:tcPr>
          <w:p>
            <w:pPr>
              <w:widowControl/>
              <w:jc w:val="center"/>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机械图纸及电气图纸（电子版与2份过塑纸质版）、PLC程序、触摸屏文件、设备说明书（中文版）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417" w:type="dxa"/>
            <w:vAlign w:val="center"/>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易损件、耗材等</w:t>
            </w:r>
          </w:p>
        </w:tc>
        <w:tc>
          <w:tcPr>
            <w:tcW w:w="6033" w:type="dxa"/>
          </w:tcPr>
          <w:p>
            <w:pPr>
              <w:widowControl/>
              <w:jc w:val="center"/>
              <w:rPr>
                <w:rFonts w:asciiTheme="minorEastAsia" w:hAnsiTheme="minorEastAsia" w:cstheme="minorEastAsia"/>
                <w:szCs w:val="21"/>
                <w:highlight w:val="none"/>
              </w:rPr>
            </w:pPr>
            <w:r>
              <w:rPr>
                <w:rStyle w:val="74"/>
                <w:rFonts w:asciiTheme="minorEastAsia" w:hAnsiTheme="minorEastAsia" w:eastAsiaTheme="minorEastAsia" w:cstheme="minorEastAsia"/>
                <w:sz w:val="21"/>
                <w:szCs w:val="21"/>
                <w:highlight w:val="none"/>
              </w:rPr>
              <w:t>提供备件及易损件的清单（包括使用周期，价格）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417" w:type="dxa"/>
            <w:vAlign w:val="center"/>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流程图及介绍</w:t>
            </w:r>
          </w:p>
        </w:tc>
        <w:tc>
          <w:tcPr>
            <w:tcW w:w="6033" w:type="dxa"/>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乙方提供和制作实验室测试控制流程图和实验室介绍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417" w:type="dxa"/>
            <w:vAlign w:val="center"/>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随机备件</w:t>
            </w:r>
          </w:p>
        </w:tc>
        <w:tc>
          <w:tcPr>
            <w:tcW w:w="6033" w:type="dxa"/>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数字显示调节器2个，触摸屏1个，高、低压传感器各2个，水温温传感器2个。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widowControl/>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417" w:type="dxa"/>
            <w:vAlign w:val="center"/>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认证</w:t>
            </w:r>
          </w:p>
        </w:tc>
        <w:tc>
          <w:tcPr>
            <w:tcW w:w="6033" w:type="dxa"/>
          </w:tcPr>
          <w:p>
            <w:pPr>
              <w:widowControl/>
              <w:jc w:val="center"/>
              <w:rPr>
                <w:rStyle w:val="74"/>
                <w:rFonts w:hint="default" w:asciiTheme="minorEastAsia" w:hAnsiTheme="minorEastAsia" w:eastAsiaTheme="minorEastAsia" w:cstheme="minorEastAsia"/>
                <w:sz w:val="21"/>
                <w:szCs w:val="21"/>
                <w:highlight w:val="none"/>
              </w:rPr>
            </w:pPr>
            <w:r>
              <w:rPr>
                <w:rStyle w:val="74"/>
                <w:rFonts w:asciiTheme="minorEastAsia" w:hAnsiTheme="minorEastAsia" w:eastAsiaTheme="minorEastAsia" w:cstheme="minorEastAsia"/>
                <w:sz w:val="21"/>
                <w:szCs w:val="21"/>
                <w:highlight w:val="none"/>
              </w:rPr>
              <w:t>配合甲方完成GMPI认证</w:t>
            </w:r>
          </w:p>
        </w:tc>
      </w:tr>
    </w:tbl>
    <w:p>
      <w:pPr>
        <w:spacing w:before="142" w:line="360" w:lineRule="auto"/>
        <w:ind w:left="102"/>
        <w:rPr>
          <w:rFonts w:asciiTheme="minorEastAsia" w:hAnsiTheme="minorEastAsia" w:cstheme="minorEastAsia"/>
          <w:b/>
          <w:bCs/>
          <w:spacing w:val="39"/>
          <w:szCs w:val="21"/>
          <w:highlight w:val="none"/>
        </w:rPr>
      </w:pPr>
      <w:r>
        <w:rPr>
          <w:rFonts w:hint="eastAsia" w:asciiTheme="minorEastAsia" w:hAnsiTheme="minorEastAsia" w:cstheme="minorEastAsia"/>
          <w:b/>
          <w:bCs/>
          <w:spacing w:val="39"/>
          <w:szCs w:val="21"/>
          <w:highlight w:val="none"/>
        </w:rPr>
        <w:t xml:space="preserve">九）其他： </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提供报价时应提供关键设备的详细配置、品牌、型号，作为技术协议附件。</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施工前，应进行技术交底，测试流程图、平面布置图、房体结构、电气图应经甲方评审。</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现场施工，所有的管路、线槽、线架应符合现场施工规定，不得随意走线、布管。</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实验室的安装、冷却水塔支架、冷却水管下穿路面由乙方完成。</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乙方完成从甲方配电柜取电，由乙方进行现场勘查。</w:t>
      </w:r>
    </w:p>
    <w:p>
      <w:pPr>
        <w:pStyle w:val="58"/>
        <w:numPr>
          <w:ilvl w:val="0"/>
          <w:numId w:val="32"/>
        </w:numPr>
        <w:tabs>
          <w:tab w:val="left" w:pos="522"/>
        </w:tabs>
        <w:spacing w:before="160" w:line="360" w:lineRule="auto"/>
        <w:ind w:left="420" w:leftChars="200"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乙方须对甲方技术人员进行实验室的使用培训；</w:t>
      </w:r>
    </w:p>
    <w:p>
      <w:pPr>
        <w:pStyle w:val="58"/>
        <w:numPr>
          <w:ilvl w:val="0"/>
          <w:numId w:val="32"/>
        </w:numPr>
        <w:tabs>
          <w:tab w:val="left" w:pos="522"/>
        </w:tabs>
        <w:spacing w:before="160"/>
        <w:ind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本实验室交付周期不超过120个自然天（自合同签署之日起）。</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ind w:left="420" w:leftChars="200" w:firstLine="0" w:firstLineChars="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半消实验室技术要求</w:t>
      </w:r>
    </w:p>
    <w:p>
      <w:pPr>
        <w:pStyle w:val="58"/>
        <w:tabs>
          <w:tab w:val="left" w:pos="522"/>
        </w:tabs>
        <w:spacing w:before="160"/>
        <w:ind w:left="420" w:leftChars="200" w:firstLine="0" w:firstLineChars="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 xml:space="preserve">一） 概述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该项目主要是用于测试活塞压缩机在不同工作状态在的噪音和震动水平，项目工程内容包括实验室设计、安装、调试和培训等工作。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w:t>
      </w:r>
      <w:r>
        <w:rPr>
          <w:rFonts w:hint="eastAsia" w:asciiTheme="minorEastAsia" w:hAnsiTheme="minorEastAsia" w:eastAsiaTheme="minorEastAsia" w:cstheme="minorEastAsia"/>
          <w:b/>
          <w:bCs/>
          <w:szCs w:val="21"/>
          <w:highlight w:val="none"/>
        </w:rPr>
        <w:t xml:space="preserve">二）设计依据标准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表2.1 设计依据标准</w:t>
      </w:r>
    </w:p>
    <w:tbl>
      <w:tblPr>
        <w:tblStyle w:val="20"/>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6882-2016</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《声学声压法测定噪声源声功率级和声能量级消声室和半消声室精密法》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GB50800-2012</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《消声室和全消声室技术规范》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JJF 1147-2006</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《消声室和全消声室声学特性校准规范》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19889.3-2005</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《声学建筑和建筑构件隔声测量第3部分：建筑构件空气声隔声的实验室测量》</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三）实验室要求</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3.1总体结构性能技术要求：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1.测试对象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热泵用压缩机的噪声测试分析。</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2.电源要求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消声室采用市电：电源三相380V±10%，50Hz，总消耗功率不大于50KW。</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设计承建的消声室应当满足以上产品标准对噪声测试的要求。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3.2半消声室技术性能指标：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表1 各项关键技术指标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008"/>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设计指标</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半消声室设计参数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本底噪声允许值</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空气声隔声量</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设计截止频率</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被测机尺寸（长*直径）</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1.5m*0.5m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自由场半径</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3008"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吸声尖劈吸声系数</w:t>
            </w:r>
          </w:p>
        </w:tc>
        <w:tc>
          <w:tcPr>
            <w:tcW w:w="289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ａ≥0.99</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 消声室测得的声压级和理论声压级更大允许误差  dB</w:t>
      </w:r>
    </w:p>
    <w:tbl>
      <w:tblPr>
        <w:tblStyle w:val="21"/>
        <w:tblW w:w="0" w:type="auto"/>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2"/>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1/3倍频带中心频率/Hz</w:t>
            </w:r>
          </w:p>
        </w:tc>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允许误差/dB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≤630</w:t>
            </w:r>
          </w:p>
        </w:tc>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800-5000</w:t>
            </w:r>
          </w:p>
        </w:tc>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≥6300</w:t>
            </w:r>
          </w:p>
        </w:tc>
        <w:tc>
          <w:tcPr>
            <w:tcW w:w="4460"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3.3其他技术要求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 消声室采用双墙设计，外墙采用厚实心砖，内墙采用钢筋混泥土，地坪为声反射面，吸声系数＜0.06。</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3.3.2.消声室门的要求：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消声室门包括一扇重质隔声门、一套吸声隔声门。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1）门有效尺寸：室内侧为1200mm×2360mm，单扇转动门；室外测：1600×2360毫米。室外测采用二扇对开方式，二扇尺寸分配：400+1200；平时单独开1200，当需要进大件产品时，再将另外400的打开。</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2）要便于受试样机用小车推进推出。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开启方式：内吸声门不得采用推拉式，必须采用铰链旋转式，外隔声门为朝外转动式。为保证消声室声场质量，吸声门上尖劈采用和室内墙上同样规格和同样排列的尖劈。门的开启方式为曲柄连杆机构，旋转方式，门顶设测试警示灯。</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3.3.4.消声室地面要求：消声室地面采用不锈钢板，同时声反射系数要符合消声室标准要求，且平整耐磨。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3.3.5.消声室用吸声尖劈的要求：尖劈用吸声材料选用环保型离心喷吹棉板，并由合资企业生产。材料应符合环境标准要求。同时应具有不吸潮，憎水性强，成型好，不风化，密度均匀，吸声性能离散性小的特点，且为不燃材料。尖劈为双齿结构，骨架为冷拔钢丝，模具内焊接后，表面喷塑防锈处理。尖劈架应有较高的刚度和强度。尖劈饰面层为灰色阻燃吸声布，阻燃B1级。需提供吸声材料的检验报告。</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3.3.6.消声室预留设施：消声室与压缩机实验室之间预留有提供工况的管路通道，且有拆装的隔声盖板。</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3.3.7.消声室照明：消声室安装无声防爆照明灯具，配置自动升降器，便于灯泡更换。照明控制开关装设于门边或其它指定位置。每一间配备一台应急照明灯。照度满足实验室测试工作的要求。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3.3.8.消声室内的工况具有温湿度调节功能,应满足标准温湿度工况测试要求.为了消除工况机组运转时产生的振动和噪声，确保消声室内的声场环境满足要求，每台工况机组及进回风管道装设消声器，并对进回风管道装及消声器进行减振、隔声、保温等处理。整个试验室的运行（温度、供电电压、电流及功率，开停及保护、被测样机的电气运行状况）由位于测控室的电柜集中控制和监测。</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3.3.9.消声室工况空调柜材料采用钢板喷涂，保温良好，防锈、防潮、防火、防腐蚀措施完善有效。亲水膜铝翅片蒸发器、大口径排水口、管。高落差接水盘。低噪音双进风离心风机。采用变频调速装置。所有冷凝水均应收集后集中排除。机组间地面不得积水。</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3.3.10.消声室室内外工况系统装设有换新风（抽风）装置以排除消声室内异味。</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3.3.11. 消声室设计要便于安装、施工、维护和调整。消声室内设有移动式电源插座配电箱。其结构应符合安全要求。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3.3.12.消声室内设烟雾报警消防警报系统。</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3.3.13.室外侧配备10点半球包络面声功率布点机构，自动升降。不锈钢制作，不得对自由声场产生不良影响。半球半径为1米，升降高度大于2米。</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3.3.14.隔振结构的要求：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要求采用金属圆柱螺旋弹簧隔振器。要求消声室地坪和测控室地坪等高。地坑内设排水和维修机构。要求提供的弹簧测试报告。要求提供隔振效率的详细计算说明。</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3.3.15.消声室设内外联络对讲电话和监视摄像系统。显示器采用液晶，尺寸不小于19寸。二个通道切换，共用一台显示器。</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四）其他：</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1.提供报价时应提供关键设备的品牌、型号，作为技术协议附件。</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2.施工前应进行技术交底，平面布置图、房体结构、电气图应经甲方评审。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3.现场施工，所有的管路、线槽、线架应符合现场施工规定，不得随意走线、布管。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4.乙方完成从甲方配电柜取电，由乙方进行现场勘查。</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5.乙方须对甲方技术人员进行实验室的使用培训。</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6.项目实施完成后由乙方提供消声室本底噪声及整套仪器设备的国家级计量检定机构计量检定证书。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7.本实验室可与无油活塞实验室联合体投标。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8.本实验室交付周期不超过90个自然天（自合同签署之日起）。</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ind w:left="420" w:leftChars="200" w:firstLine="0" w:firstLineChars="0"/>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无油活塞压缩机性能试验台技术要求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 xml:space="preserve">一）概述 </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该项目主要是为了开发一套全新的无油活塞压缩机标准性能试验台，用于研发活塞压缩机， 测试制冷剂为R410a/R134a/R32。项目内容包括性能测试台设备制作，安装调试。乙方负责关键仪器仪表规格参数选型以满足甲方测试需求。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装置管路系统的最大工作压力不超过4.0MPa。制冷系统阀件、法兰最低按照4.5MPa耐压配置。制冷系统管道用304不锈钢无缝钢管制作，水管采用镀锌钢管制作。试验台配置两套测试工位，其中一套位于压缩机性能实验室内，一套位于噪声实验室内。两个工位包含两套独立的温度、压力测点，两套工位不同时使用。噪声实验室内压缩机底座配置足够重量钢结构底座，满足压缩机噪声测试需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测试系统不带补气功能，预留将来可以增加测试双级压缩补气功能的接口。试验装置设备供电电源为380V/50Hz三相市电，被试机配置调压稳压电源。</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系统是全自动开机与运行，可以一次性设置多个试验工况，实现无人干预情况下自动完成多工况试验。设备运转通过可编程序控制器进行控制，试验数据测量值由计算机进行数据采集处理和存档，试验数据可机型多种功能检索。项目工程内容包括实验室设计、制造、安装、调试和培训等工作。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w:t>
      </w:r>
      <w:r>
        <w:rPr>
          <w:rFonts w:hint="eastAsia" w:asciiTheme="minorEastAsia" w:hAnsiTheme="minorEastAsia" w:eastAsiaTheme="minorEastAsia" w:cstheme="minorEastAsia"/>
          <w:b/>
          <w:bCs/>
          <w:szCs w:val="21"/>
          <w:highlight w:val="none"/>
        </w:rPr>
        <w:t xml:space="preserve">二）测试条件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1.依据标准：</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表2.1 设计依据标准</w:t>
      </w:r>
    </w:p>
    <w:tbl>
      <w:tblPr>
        <w:tblStyle w:val="20"/>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5773</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《容积式制冷剂压缩机性能试验方法》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ANASI/AHRI Standard 540-2004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《Standard for performance rating of positive displacement refrigerant compressor and compressor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9237-2017</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《制冷系统及热泵安全与环境要求》</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表2.2 安装依据标准</w:t>
      </w:r>
    </w:p>
    <w:tbl>
      <w:tblPr>
        <w:tblStyle w:val="20"/>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50274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《制冷设备、空气分离设备安装工程施工及验收规范》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50236</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《现场设备、工业管道焊接工程施工及验收规范》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50231</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《机械设备安装工程施工及验收规范》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50194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《建设工程施工现场供用电安全规范》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50114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《暖通空调工程制图标准》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9237</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《制冷与供热用机械制冷系统安全要求》</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2.测试精度：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主辅测试方法对比精度误差不大于±4%；</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重复性测试（一次装机三次试验）精度误差不大于±1%；</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与标准机偏差不大于±1.5%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温度、压力、流量等控制和测量精度满足GB/T 5773标准要求。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3.测试方法</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主要试验方法（X法）：标准 GB/T 5773 规定的 D2方法（排气管气体流量计法）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校核试验方法（Y法）：标准 GB/T 5773 规定的 J方法（制冷剂气体冷却法）；</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测试项目：</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制冷系统压力</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制冷系统温度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压缩机壳体温度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制冷剂流量</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制冷量/制热量</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制冷消耗功率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制冷性能系数</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等熵效率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机组卸载状态性能（基于压缩机稳定运行状态下）</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被试机电压、电流、功率、频率等电参数测量、三相电压，并增加电流不平衡与电压不平衡的自动报警，报警值可设定）。</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 xml:space="preserve">三）实验室要求 </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3.1基本要求：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可以准确测定制冷压缩机的制冷量、功耗、电流、性能系数等参数。可以做要求的标准工况， 也可以做要求的非标准工况，并记录机组运行情况。常规工况稳定时间不超过一小时。（具体运行范围参见压缩机运行范围图）。 使用正版的 windows操作系统，并提供正版使用软件。台位要求采 用触摸屏与可编程控制器联合控制，PID调节表进行参数调节设置的调节控制方法，使得系统具有较好的直观性和可靠性。测试参数采用数据采集系统采集，测量值由采集器输入计算机进行数据采 集处理并存档。软件可以生成曲线报告与数据报告。设计应能符合甲方相关的环境、健康、安全政策和要求。竣工结束，提供台位设备的标识。在此基础上应考虑台位的可扩展性、与其他台位的可兼容性及节能性。并提供以往类似项目软件功能介绍。同时为了便于实验，试验台应配置被测机器供电悬臂电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3.2软件要求：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数据采集系统由计算机和数据采集器、传感器构成。数据采集器选用日本横河公司产品，选用品牌计算机，它们共同完成所有信号的采集和处理。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软件在中文Windows平台下运行，本测试软件主要有以下几个功能：</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设置各种试验工况参数并传送至数字调节器， 由调节器完成试验工况各参数的调节。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输入被试样机各种参数，可以通过扫描枪输入压缩机的铭牌信息。</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屏幕显示：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①</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控制参数的动态显示；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②</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各测量和计算参数的显示；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③</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各类数据的趋势曲线；</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④</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自动判稳，自动记录数据，自动计算结果并存档。</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能够调节PID参数以及监控各种警报，而且可在紧急情况下立刻停止设备运行。</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各种标准的工况均容易的设定并实现，所有工况的测试结果均有独自的编号和名称。</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数据文件应该以一种标准格式（如 Excel）被存储。测试报告支持中英文。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软件提供所有测量参数的修正表格,用于实验室能力标定，修正数据保存在系统文件中。</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具备测试历史曲线记录和保存功能，可选择需要显示的参数，并设定各参数坐标。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多工况测试自动执行，工况自行判稳后出具测试报告切至下个工况。</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数据在测试期间的记录能够及时更新。坐标轴上的刻度能根据使用者的设定以最佳化显示。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历史测试数据应被存放在标准数据库中，可以通过搜索时间和测试机型进行查询。</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测试界面应有系统管路原理图，并将各项参数显示于相应节点，直观显示。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打印各类试验报告。</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乙方能将台位的数据上传至甲方指定的SQLServer等数据库中，然后甲方可以编写程序对测试数据进行处理、列表管理。</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各种历史数据图形分析和曲线打印输出。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测试系统参数管理。</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工质热力学性能数据查表以及性能曲线的拟合。</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报警时屏幕显示有效、详细的报警内容。</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19）提供相应的打印设备。</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3.3测试内容与要求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测试机型：无油活塞压缩机</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适合制冷剂：R134a/R410a/R32，系统设计选型以R410a测试为主，压力、温度及设备选型要考虑其它制冷剂的要求,超出R134a/R410a/R32计范围不做考核。</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压缩机测量范围及要求：</w:t>
      </w:r>
    </w:p>
    <w:tbl>
      <w:tblPr>
        <w:tblStyle w:val="20"/>
        <w:tblW w:w="5000" w:type="pct"/>
        <w:jc w:val="center"/>
        <w:shd w:val="clear" w:color="auto" w:fill="FFFFFF" w:themeFill="background1"/>
        <w:tblLayout w:type="fixed"/>
        <w:tblCellMar>
          <w:top w:w="0" w:type="dxa"/>
          <w:left w:w="108" w:type="dxa"/>
          <w:bottom w:w="0" w:type="dxa"/>
          <w:right w:w="108" w:type="dxa"/>
        </w:tblCellMar>
      </w:tblPr>
      <w:tblGrid>
        <w:gridCol w:w="503"/>
        <w:gridCol w:w="1862"/>
        <w:gridCol w:w="503"/>
        <w:gridCol w:w="1413"/>
        <w:gridCol w:w="1412"/>
        <w:gridCol w:w="1412"/>
        <w:gridCol w:w="1415"/>
      </w:tblGrid>
      <w:tr>
        <w:tblPrEx>
          <w:tblCellMar>
            <w:top w:w="0" w:type="dxa"/>
            <w:left w:w="108" w:type="dxa"/>
            <w:bottom w:w="0" w:type="dxa"/>
            <w:right w:w="108" w:type="dxa"/>
          </w:tblCellMar>
        </w:tblPrEx>
        <w:trPr>
          <w:trHeight w:val="465"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名称</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参数（最大工况）</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参数（最小工况）</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参数（最小工况）</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参数（最大工况）</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试验台冷却水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甲方提供冷却水至试验台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甲方提供冷却水至试验台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甲方提供冷却水至试验台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甲方提供冷却水至试验台</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试验台总供电</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甲方提供总供电至试验台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甲方提供总供电至试验台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甲方提供总供电至试验台</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甲方提供总供电至试验台</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压缩机类型</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活塞式</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活塞式</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活塞式</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活塞式</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单级/双级</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单级</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单级</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单级</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单级</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排量范围或者吸气流量范围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m3/h</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386m3/h</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75m3/h</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37m3/h</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193m3/h</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制冷剂</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R134a</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R134a</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R410a/R32</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R410a/R32</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润滑油</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r>
      <w:tr>
        <w:tblPrEx>
          <w:shd w:val="clear" w:color="auto" w:fill="FFFFFF" w:themeFill="background1"/>
          <w:tblCellMar>
            <w:top w:w="0" w:type="dxa"/>
            <w:left w:w="108" w:type="dxa"/>
            <w:bottom w:w="0" w:type="dxa"/>
            <w:right w:w="108" w:type="dxa"/>
          </w:tblCellMar>
        </w:tblPrEx>
        <w:trPr>
          <w:trHeight w:val="90"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电源</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 to 480(±10%）单相供电或可自行更换</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 to 480(±10%）单相供电或可自行更换</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 to 480(±10%）单相供电或可自行更换</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 to 480(±10%）单相供电或可自行更换</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电压波动</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r>
      <w:tr>
        <w:tblPrEx>
          <w:tblCellMar>
            <w:top w:w="0" w:type="dxa"/>
            <w:left w:w="108" w:type="dxa"/>
            <w:bottom w:w="0" w:type="dxa"/>
            <w:right w:w="108" w:type="dxa"/>
          </w:tblCellMar>
        </w:tblPrEx>
        <w:trPr>
          <w:trHeight w:val="402"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供电频率</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 to 60±5%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 to 60±5%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 to 60±5%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 to 60±5%</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压缩机转速（是否测量）</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rpm</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不用</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不用</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不用</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不用</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压缩机功率范围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kＷ</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81</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w:t>
            </w:r>
          </w:p>
        </w:tc>
      </w:tr>
      <w:tr>
        <w:tblPrEx>
          <w:tblCellMar>
            <w:top w:w="0" w:type="dxa"/>
            <w:left w:w="108" w:type="dxa"/>
            <w:bottom w:w="0" w:type="dxa"/>
            <w:right w:w="108" w:type="dxa"/>
          </w:tblCellMar>
        </w:tblPrEx>
        <w:trPr>
          <w:trHeight w:val="864"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名义制冷量范围（Te：7.2℃，Tc：54℃，过冷度5℃，过热度10℃）</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kＷ</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267</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51</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296</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电机设计功率</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kＷ</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24</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蒸发温度范围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冷凝温度范围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45</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45</w:t>
            </w:r>
          </w:p>
        </w:tc>
      </w:tr>
      <w:tr>
        <w:tblPrEx>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吸气温度范围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12~18</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12~18</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-20~-10</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排气温度范围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75~89</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75~89</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90~110</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90~110</w:t>
            </w:r>
          </w:p>
        </w:tc>
      </w:tr>
      <w:tr>
        <w:tblPrEx>
          <w:shd w:val="clear" w:color="auto" w:fill="FFFFFF" w:themeFill="background1"/>
          <w:tblCellMar>
            <w:top w:w="0" w:type="dxa"/>
            <w:left w:w="108" w:type="dxa"/>
            <w:bottom w:w="0" w:type="dxa"/>
            <w:right w:w="108" w:type="dxa"/>
          </w:tblCellMar>
        </w:tblPrEx>
        <w:trPr>
          <w:trHeight w:val="379"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压缩机环境温度范围</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常温</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常温</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常温</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常温</w:t>
            </w:r>
          </w:p>
        </w:tc>
      </w:tr>
      <w:tr>
        <w:tblPrEx>
          <w:tblCellMar>
            <w:top w:w="0" w:type="dxa"/>
            <w:left w:w="108" w:type="dxa"/>
            <w:bottom w:w="0" w:type="dxa"/>
            <w:right w:w="108" w:type="dxa"/>
          </w:tblCellMar>
        </w:tblPrEx>
        <w:trPr>
          <w:trHeight w:val="420"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是否配置经济器（双级）</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3317"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预留将来扩展经济器测试的接口、空间</w:t>
            </w:r>
          </w:p>
        </w:tc>
      </w:tr>
      <w:tr>
        <w:tblPrEx>
          <w:tblCellMar>
            <w:top w:w="0" w:type="dxa"/>
            <w:left w:w="108" w:type="dxa"/>
            <w:bottom w:w="0" w:type="dxa"/>
            <w:right w:w="108" w:type="dxa"/>
          </w:tblCellMar>
        </w:tblPrEx>
        <w:trPr>
          <w:trHeight w:val="90"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是否需要测试绕阻在线温升（带电情况下测试线圈绕阻）</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r>
      <w:tr>
        <w:tblPrEx>
          <w:tblCellMar>
            <w:top w:w="0" w:type="dxa"/>
            <w:left w:w="108" w:type="dxa"/>
            <w:bottom w:w="0" w:type="dxa"/>
            <w:right w:w="108" w:type="dxa"/>
          </w:tblCellMar>
        </w:tblPrEx>
        <w:trPr>
          <w:trHeight w:val="600"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可燃气体报警器是否配置，例如R32等气体使用</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需要</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需要</w:t>
            </w:r>
          </w:p>
        </w:tc>
      </w:tr>
      <w:tr>
        <w:tblPrEx>
          <w:tblCellMar>
            <w:top w:w="0" w:type="dxa"/>
            <w:left w:w="108" w:type="dxa"/>
            <w:bottom w:w="0" w:type="dxa"/>
            <w:right w:w="108" w:type="dxa"/>
          </w:tblCellMar>
        </w:tblPrEx>
        <w:trPr>
          <w:trHeight w:val="840" w:hRule="atLeast"/>
          <w:jc w:val="center"/>
        </w:trPr>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109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是否有其他测试需求例如：振动试验、噪声测试</w:t>
            </w:r>
          </w:p>
        </w:tc>
        <w:tc>
          <w:tcPr>
            <w:tcW w:w="29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c>
          <w:tcPr>
            <w:tcW w:w="8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备注：</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①系统按照运行R410a制冷剂进行设计；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②启动方式：软启动，最大启动电流不超过263A；</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③过热度：R410a：2～20K，过热度低于5℃时的有带液现象主辅偏差不做考核；</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④过冷度：R410a：0～10K，只参与计算，不调节。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3.4测试参数范围要求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各工况点如下：</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drawing>
          <wp:inline distT="0" distB="0" distL="0" distR="0">
            <wp:extent cx="2774950" cy="2107565"/>
            <wp:effectExtent l="0" t="0" r="13970" b="10795"/>
            <wp:docPr id="1619986950"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986950" name="图片 1" descr="图表, 散点图&#10;&#10;描述已自动生成"/>
                    <pic:cNvPicPr>
                      <a:picLocks noChangeAspect="1"/>
                    </pic:cNvPicPr>
                  </pic:nvPicPr>
                  <pic:blipFill>
                    <a:blip r:embed="rId10"/>
                    <a:stretch>
                      <a:fillRect/>
                    </a:stretch>
                  </pic:blipFill>
                  <pic:spPr>
                    <a:xfrm>
                      <a:off x="0" y="0"/>
                      <a:ext cx="2776496" cy="2109293"/>
                    </a:xfrm>
                    <a:prstGeom prst="rect">
                      <a:avLst/>
                    </a:prstGeom>
                  </pic:spPr>
                </pic:pic>
              </a:graphicData>
            </a:graphic>
          </wp:inline>
        </w:drawing>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3.5测试参数范围及精度要求</w:t>
      </w:r>
    </w:p>
    <w:tbl>
      <w:tblPr>
        <w:tblStyle w:val="73"/>
        <w:tblW w:w="500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57"/>
        <w:gridCol w:w="2681"/>
        <w:gridCol w:w="1722"/>
        <w:gridCol w:w="1543"/>
        <w:gridCol w:w="1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测量范围</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测量精度</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控制精度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吸气压力</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0.1~2.5Mpa</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排气压力</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0.5~4.5Mpa</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吸气温度</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-40~60℃</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排气温度</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60~150℃</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气体冷却器入口液体阀前压力</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0.5~4.5Mpa</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气体冷却器入口液体阀前温度</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20~60℃</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气体冷却器入口气体压力</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0.5~4.5Mpa</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1610"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气体冷却器入口气体温度</w:t>
            </w:r>
          </w:p>
        </w:tc>
        <w:tc>
          <w:tcPr>
            <w:tcW w:w="1034"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20~60℃</w:t>
            </w:r>
          </w:p>
        </w:tc>
        <w:tc>
          <w:tcPr>
            <w:tcW w:w="927"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气体冷却器出口压力</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0.1~0.7 MPa</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0</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气体冷却器出口温度</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-30~60℃</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1</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气体冷却器环境温度</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-20~60℃</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2</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冷媒排气流量</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100~8000kg/h</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3</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冷媒液体流量</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80~3000kg/h</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4</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被测机电压</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200~</w:t>
            </w:r>
            <w:r>
              <w:rPr>
                <w:rFonts w:asciiTheme="minorEastAsia" w:hAnsiTheme="minorEastAsia" w:eastAsiaTheme="minorEastAsia" w:cstheme="minorEastAsia"/>
                <w:szCs w:val="21"/>
                <w:highlight w:val="none"/>
              </w:rPr>
              <w:t>100</w:t>
            </w:r>
            <w:r>
              <w:rPr>
                <w:rFonts w:hint="eastAsia" w:asciiTheme="minorEastAsia" w:hAnsiTheme="minorEastAsia" w:eastAsiaTheme="minorEastAsia" w:cstheme="minorEastAsia"/>
                <w:szCs w:val="21"/>
                <w:highlight w:val="none"/>
              </w:rPr>
              <w:t>0V</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读数±0.1%</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量程 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5</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被测机功率</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10~100kW</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读数±0.1%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515"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6</w:t>
            </w:r>
          </w:p>
        </w:tc>
        <w:tc>
          <w:tcPr>
            <w:tcW w:w="161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被测机频率</w:t>
            </w:r>
          </w:p>
        </w:tc>
        <w:tc>
          <w:tcPr>
            <w:tcW w:w="103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50Hz</w:t>
            </w:r>
          </w:p>
        </w:tc>
        <w:tc>
          <w:tcPr>
            <w:tcW w:w="927"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量程 0.1%</w:t>
            </w:r>
          </w:p>
        </w:tc>
        <w:tc>
          <w:tcPr>
            <w:tcW w:w="91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bl>
    <w:p>
      <w:pPr>
        <w:pStyle w:val="58"/>
        <w:numPr>
          <w:ilvl w:val="0"/>
          <w:numId w:val="33"/>
        </w:numPr>
        <w:tabs>
          <w:tab w:val="left" w:pos="522"/>
        </w:tabs>
        <w:spacing w:before="160"/>
        <w:ind w:left="420" w:leftChars="200" w:firstLine="422"/>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 xml:space="preserve">设备主要配置要求 </w:t>
      </w:r>
    </w:p>
    <w:p>
      <w:pPr>
        <w:pStyle w:val="58"/>
        <w:tabs>
          <w:tab w:val="left" w:pos="522"/>
        </w:tabs>
        <w:spacing w:before="160"/>
        <w:ind w:left="840" w:leftChars="400" w:firstLine="0" w:firstLineChars="0"/>
        <w:rPr>
          <w:rFonts w:asciiTheme="minorEastAsia" w:hAnsiTheme="minorEastAsia" w:eastAsiaTheme="minorEastAsia" w:cstheme="minorEastAsia"/>
          <w:b/>
          <w:bCs/>
          <w:szCs w:val="21"/>
          <w:highlight w:val="none"/>
        </w:rPr>
      </w:pPr>
    </w:p>
    <w:tbl>
      <w:tblPr>
        <w:tblStyle w:val="20"/>
        <w:tblW w:w="9336" w:type="dxa"/>
        <w:tblInd w:w="-16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46"/>
        <w:gridCol w:w="1729"/>
        <w:gridCol w:w="67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7"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体积流量计</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品牌：横河/E+H/罗斯蒙特/科隆，测量精度：±0.5%，带液晶显示，须满足本技术要求的温度测量范围，满足低温温度和抗腐蚀的要求，同时流量计须满足在此时溶液粘度下的测量准确性；提供1年有效期的流量计计量证书。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8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质量流量计</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品牌：横河/OVAL/艾默生/E+H/科隆，测量精度：±0.2%，带液晶显示，须满足本技术要求的温度测量范围，满足低温温度和抗腐蚀的要求，同时流量计须满足在此时溶液粘度下的测量准确性；提供1年有效期的流量计计量证书。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数据采集器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品牌：日本横河/Keysight，型号：GM10/34970系列，测量输入类型：DCV、TC、RTD、应变 预留至少8个通道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数字显示调节器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品牌：日本横河/山武，精度：±0.1%，型号：UT35A/SDC36。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电能表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品牌：日本横河，型号：WT333系列；精度：±0.5%，带电能积算功能。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调功器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品牌：希曼顿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电流互感器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品牌：彼爱琪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采样电阻</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T型热电偶线</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品牌：上自或等同质量品牌，长度2000米，精度±0.5℃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温度传感器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品牌：千野/赛亿凌，规格：PT100，精度±0.1℃，出线端头有不锈钢弹簧丝保护，长度须满足插入水管的中间位置。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压力传感器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品牌：Microsensor或等同品牌，精度：±0.25%FS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压差传感器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品牌：川仪或等同品牌，精度：±0.5%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可编程控制器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品牌：OMRON/西门子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触摸屏</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品牌：威纶/Proface，规格型号：10.4英寸及以上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变频调速器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品牌：丹佛斯/ ABB /博世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稳压电源</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品牌：仪迪/思普/精华，规格：不低于150kVA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空气开关（含智能断路器）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品牌：施耐德/西门子/ABB/LS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接触器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品牌：施耐德/西门子/ABB/LS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水泵</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品牌：凯泉/南方，机械密封，电机绝缘F级或以上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制冷剂管道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不锈钢304材质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冷却管道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材质：镀锌钢管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冷冻管道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材质：镀锌钢管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取样段（压力、温度）</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实验台的被测机进出水管管口处制作压力温度取样口，温度取样口采用盲管直接放入的方式，盲管要求采用不锈钢管。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板式换热器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品牌：同泽/唯益/宝德/远卓，配管时一次侧和二次侧入口处须安装过滤器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气动阀门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测试主管路阀门必须采用气动式阀门；品牌：博雷/环球/西玛帝/沃特斯或等同质量品牌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电动调节阀门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品牌：山武/EMERSON/Badger/Haqun/SIEMENS或等同质量品牌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冷却塔</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品牌：良机或等同质量品牌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5"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恒温水箱</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箱体采用整体设计，内层采用2mm以上厚度的SUS304不锈钢材料，外层可选用1mm厚的优质SUS304不锈钢板，水箱聚氨酯发泡保温。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电缆悬臂吊</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承重0.5吨，可以旋转、移动吊钩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测试连接软管及工装</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实验室进出水管道各配置一组不锈钢304软管，配置相应法兰连接工装。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电缆</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品牌：天康、渝丰、南方、泰山或更优品牌，软线。</w:t>
            </w:r>
          </w:p>
        </w:tc>
      </w:tr>
    </w:tbl>
    <w:p>
      <w:pPr>
        <w:pStyle w:val="58"/>
        <w:tabs>
          <w:tab w:val="left" w:pos="522"/>
        </w:tabs>
        <w:spacing w:before="160"/>
        <w:ind w:left="420" w:leftChars="200" w:firstLine="0" w:firstLineChars="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五）其他技术要求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1.带冷媒回收功能，实验完成可以将压缩机段的冷媒回收至系统，带抽真空功能；</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2.甲方提供冷却水及冷冻水，乙方需从甲方提供接口至试验台接水管（10米范围内）；</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3.水管与铜管走向需保证横平竖直，铜管均采用保温棉、水管采用橡塑+PVC进行保温；</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4.实验装置的布置位置由甲方指定，乙方进行布置，并提供设计三维效果图甲方沟通，甲方同意并确认后方可施工；</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5.所有试验台设备拆装安排方案需经甲方评审，确保无安全隐患，满足EH&amp;S 要求。对于安装过程中因乙方不当拆装造成的设备损坏等损失甲方不予负责，由乙方自行承担；</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6.建筑消防与防爆符合GB 50016；</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7.乙方需提前考虑水、气管路布局，确保废水废气排放安全；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8.试验台配置防爆排风系统与防爆传感器，防爆传感器数量不少于3台；</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9.本试验装置需具备给半消实验室提供工况条件；</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10.验收工况如下：</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bl>
      <w:tblPr>
        <w:tblStyle w:val="7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85"/>
        <w:gridCol w:w="1264"/>
        <w:gridCol w:w="1477"/>
        <w:gridCol w:w="1477"/>
        <w:gridCol w:w="1477"/>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jc w:val="center"/>
        </w:trPr>
        <w:tc>
          <w:tcPr>
            <w:tcW w:w="7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试验条件</w:t>
            </w:r>
          </w:p>
        </w:tc>
        <w:tc>
          <w:tcPr>
            <w:tcW w:w="7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机型</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排气压力Bar_A</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吸气压力 Bar_A</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吸气温度℃</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排气温度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7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w:t>
            </w:r>
          </w:p>
        </w:tc>
        <w:tc>
          <w:tcPr>
            <w:tcW w:w="7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活塞机</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27</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3.37</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7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B</w:t>
            </w:r>
          </w:p>
        </w:tc>
        <w:tc>
          <w:tcPr>
            <w:tcW w:w="7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活塞机</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18.8</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65</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六）设备技术资料及随机附件要求：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417"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设备资料</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机械图纸及电气图纸（电子版与2份过塑纸质版）、PLC程序、触摸屏文件、设备说明书（中文版）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易损件、耗材等</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提供备件及易损件的清单（包括使用周期，价格）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流程图及介绍</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乙方提供和制作实验室测试控制流程图和实验室介绍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认证</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配合甲方完成GMPI认证</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七）其他：</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1.提供报价时应提供关键设备的详细配置、品牌、型号，作为技术协议附件。</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2.施工前，应进行技术交底，测试流程图、平面布置图、房体结构、电气图应经甲方评审。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3.现场施工，所有的管路、线槽、线架应符合现场施工规定，不得随意走线、布管。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4.乙方完成从甲方配电柜取电，由乙方进行现场勘查。</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5.乙方须对甲方技术人员进行实验室的使用培训；</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6.本实验室交付周期不超过120个自然天（自合同签署之日起）。</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p>
      <w:pPr>
        <w:pStyle w:val="58"/>
        <w:tabs>
          <w:tab w:val="left" w:pos="522"/>
        </w:tabs>
        <w:spacing w:before="160"/>
        <w:ind w:left="420" w:leftChars="200" w:firstLine="0" w:firstLineChars="0"/>
        <w:jc w:val="center"/>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无油离心压缩机性能试验台技术要求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 xml:space="preserve">一）概述  </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该项目主要是为了开发一套全新的离心压缩机标准性能试验台，用于研发离心压缩机，测试制冷剂为R134a/R1234ze。项目内容包括性能测试台设备制作，安装调试。乙方负责关键仪器仪表规格参数选型以满足甲方测试需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装置最大工作压力不超过3.0MPa。制冷系统阀件、法兰最低按照3.2MPa耐压配置。制冷系统管道用304不锈钢无缝钢管制作，水管采用镀锌钢管制作。</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系统是全自动开机与运行，可以一次性设置多个试验工况，实现无人干预情况下完成多工况试验。设备运转通过可编程序控制器进行控制，试验数据测量值由计算机进行数据采集处理和存档，试验数据可机型多种功能检索。项目工程内容包括实验室设计、制造、安装、调试和培训等工作。 </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 xml:space="preserve"> 二）测试条件 </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1.依据标准：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表2.1 设计依据标准</w:t>
      </w:r>
    </w:p>
    <w:tbl>
      <w:tblPr>
        <w:tblStyle w:val="20"/>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5773</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《容积式制冷剂压缩机性能试验方法》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GB/T10079</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《离心式单级制冷剂压缩机》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ANASI/AHRI Standard 540-2004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《Standard for performance rating of positive displacement refrigerant compressor and compressor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9237-2017</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《制冷系统及热泵安全与环境要求》</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表2.2 安装依据标准</w:t>
      </w:r>
    </w:p>
    <w:tbl>
      <w:tblPr>
        <w:tblStyle w:val="20"/>
        <w:tblW w:w="96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0"/>
        <w:gridCol w:w="7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50274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《制冷设备、空气分离设备安装工程施工及验收规范》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50236</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《现场设备、工业管道焊接工程施工及验收规范》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50231</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《机械设备安装工程施工及验收规范》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50194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《建设工程施工现场供用电安全规范》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50114</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《暖通空调工程制图标准》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970"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GB/T 9237</w:t>
            </w:r>
          </w:p>
        </w:tc>
        <w:tc>
          <w:tcPr>
            <w:tcW w:w="7668"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《制冷与供热用机械制冷系统安全要求》</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2.测试精度：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主辅测试方法对比精度误差不大于±4%；</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重复性测试（一次装机三次试验）精度误差不大于±1%；</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与标准机偏差不大于±1.5%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温度、压力、流量等控制和测量精度满足GB/T 5773标准要求。</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3.测试方法</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主要试验方法（X法）：标准 GB/T 5773 规定的 D2方法（排气管气体流量计法）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校核试验方法（Y法）：标准 GB/T 5773 规定的 J方法（制冷剂气体冷却法）；</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附加测量方法（Z法）：排气管道制冷剂流量计法。</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测试项目：</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制冷系统压力</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制冷系统温度</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压缩机壳体温度（3路）</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压缩机内部温度（8路，压缩机内部引出PT100温度传感器，控制平台采集显示）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剂流量测量及计算（质量流量：系统质量流量，补气质量流量，电机、轴承、变频器冷却回路质量流量；体积流量：一级吸气体积流量，一级排气体积流量（计算），二级吸气体积流量（计算），二级排气体积流量，补气体积流量，电机、轴承、变频器冷却回路质量流量）</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制冷量/制热量</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经济器制冷量</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电机冷却换热量、轴承冷却换热量、变频器冷却换热量</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制冷消耗功率</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10)制冷/制热性能系数</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11)等熵效率</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12)机组部分负荷性能（基于压缩机稳定运行状态下）</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13)被试机电压、电流、功率、频率等电参数测量、三相电压，并增加电流不平衡与电压不平衡的自动报警，报警值可设定）。</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三）试验装置要求</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3.1基本要求：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可以准确测定制冷压缩机的制冷量、功耗、电流、性能系数等参数。可以做要求的标准工况， 也可以做要求的非标准工况，并记录机组运行情况。常规工况稳定时间不超过一小时。（具体运行范围参见压缩机运行范围图）。 使用正版的 windows操作系统，并提供正版使用软件。台位要求采 用触摸屏与可编程控制器联合控制，PID调节表进行参数调节设置的调节控制方法，使得系统具有较好的直观性和可靠性。测试参数采用数据采集系统采集，测量值由采集器输入计算机进行数据采 集处理并存档。软件可以生成曲线报告与数据报告。设计应能符合甲方相关的环境、健康、安全政策和要求。竣工结束，提供台位设备的标识。在此基础上应考虑台位的可扩展性、与其他台位的可兼容性及节能性。并提供以往类似项目软件功能介绍。具体如下：</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1)性能试验工况点:</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离心机以R134a(蒸发温度22℃/冷凝温度48℃/过热度5℃/过冷度2℃)+(蒸发温度17℃/冷凝温度48℃/过热度5℃/过冷度2℃)+(蒸发温度22℃/冷凝温度58℃/过热度5℃/过冷度2℃)为名义考核工况，兼容《GBT19409—2013水(地) 源热泵机组》中冷热水型机组测试工况条件</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2)过热度：R134a：2～20K、R1234ze。过热度低于5℃时的带液现象不做考核。</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3)过冷度：R134a：0～10K、R1234ze：0～10K。只参与计算，不调节。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4)环境温度：室温，不调控。控制间及电源系统间维护结构由甲方制作，控制间安装空调由甲方负责，以保障测试设备和仪表的正常使用。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测试系统带补气功能测试与不带补气功能两种测试模式。带补气功能情况下，试验台需要能够实现自动模拟经济器，根据经济器需求实现自动寻找、平衡经济器换热条件。举例如下，经济器换热条件为：蒸发侧蒸发温度与主回路冷却后温度差为5℃，蒸发侧过热度5℃，未知经济器补气压力，需要通过系统自动运行平衡找到经济器换热点。</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6)电机冷却、轴承冷却、变频器冷却均需要通过自动调节阀实现自动调节。冷却出口均为过热气体。</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7)工位上的吸气管、排气管、补气管、电机喷液冷却管、轴承喷液冷却管、变频器喷液冷却管等阀门均为自动开关阀门。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8)试验装置设备供电电源为380V/50Hz三相市电。</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9)被试机的电参数测量为低压380V/690V电，被试机自带变频器控制被试机转速，测试系统需监控输入变频器一次测电源，并将电源参数汇入测试报告输出。压缩机电参数测量包含变频前后同时测量。</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10）试验台配置被测机器供电悬臂电缆。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3.2软件要求：</w:t>
      </w:r>
    </w:p>
    <w:p>
      <w:pPr>
        <w:pStyle w:val="58"/>
        <w:tabs>
          <w:tab w:val="left" w:pos="522"/>
        </w:tabs>
        <w:spacing w:before="160" w:line="360" w:lineRule="auto"/>
        <w:ind w:left="420" w:left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数据采集系统由计算机和数据采集器、传感器构成。数据采集器选用日本横河公司产品，选用品牌计算机，它们共同完成所有信号的采集和处理。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软件在中文Windows平台下运行，本测试软件主要有以下几个功能：</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设置各种试验工况参数并传送至数字调节器， 由调节器完成试验工况各参数的调节。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输入被试样机各种参数，可以通过扫描枪输入压缩机的铭牌信息。</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屏幕显示：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①</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控制参数的动态显示；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②</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各测量和计算参数的显示；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③</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各类数据的趋势曲线；</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④</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自动判稳，自动记录数据，自动计算结果并存档。</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能够调节PID参数以及监控各种警报，而且可在紧急情况下立刻停止设备运行。</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各种标准的工况均容易的设定并实现，所有工况的测试结果均有独自的编号和名称。</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数据文件应该以一种标准格式（如 Excel）被存储。测试报告支持中英文。</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软件提供所有测量参数的修正表格,用于实验室能力标定，修正数据保存在系统文件中。</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具备测试历史曲线记录和保存功能，可选择需要显示的参数，并设定各参数坐标。</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多工况测试自动执行，工况自行判稳后出具测试报告切至下个工况。</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数据在测试期间的记录能够及时更新。坐标轴上的刻度能根据使用者的设定以最佳化显示。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历史测试数据应被存放在标准数据库中，可以通过搜索时间和测试机型进行查询。</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测试界面应有系统管路原理图，并将各项参数显示于相应节点，直观显示。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打印各类试验报告。</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14)</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乙方能将台位的数据上传至甲方指定的SQLServer等数据库中，然后甲方可以编写程序对测试数据进行处理、列表管理。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各种历史数据图形分析和曲线打印输出。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16)</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测试系统参数管理。</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17)</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工质热力学性能数据查表以及性能曲线的拟合。</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报警时屏幕显示有效、详细的报警内容。</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19）提供相应的打印设备。</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3.3测试内容与要求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测试机型：无油离心压缩机</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适合制冷剂：R134a/R1234ze，系统设计选型以R134a测试为主，压力、温度及设备选型要考虑其它制冷剂的要求,超出R134a/R410a设计范围不做考核。</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ab/>
      </w:r>
      <w:r>
        <w:rPr>
          <w:rFonts w:hint="eastAsia" w:asciiTheme="minorEastAsia" w:hAnsiTheme="minorEastAsia" w:eastAsiaTheme="minorEastAsia" w:cstheme="minorEastAsia"/>
          <w:szCs w:val="21"/>
          <w:highlight w:val="none"/>
        </w:rPr>
        <w:t>压缩机测量范围及要求：</w:t>
      </w:r>
    </w:p>
    <w:tbl>
      <w:tblPr>
        <w:tblStyle w:val="20"/>
        <w:tblW w:w="5000" w:type="pct"/>
        <w:jc w:val="center"/>
        <w:shd w:val="clear" w:color="auto" w:fill="FFFFFF" w:themeFill="background1"/>
        <w:tblLayout w:type="autofit"/>
        <w:tblCellMar>
          <w:top w:w="0" w:type="dxa"/>
          <w:left w:w="108" w:type="dxa"/>
          <w:bottom w:w="0" w:type="dxa"/>
          <w:right w:w="108" w:type="dxa"/>
        </w:tblCellMar>
      </w:tblPr>
      <w:tblGrid>
        <w:gridCol w:w="885"/>
        <w:gridCol w:w="2057"/>
        <w:gridCol w:w="1137"/>
        <w:gridCol w:w="4443"/>
      </w:tblGrid>
      <w:tr>
        <w:tblPrEx>
          <w:tblCellMar>
            <w:top w:w="0" w:type="dxa"/>
            <w:left w:w="108" w:type="dxa"/>
            <w:bottom w:w="0" w:type="dxa"/>
            <w:right w:w="108" w:type="dxa"/>
          </w:tblCellMar>
        </w:tblPrEx>
        <w:trPr>
          <w:trHeight w:val="465"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名称</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单位</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试验台冷却水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甲方提供冷却水至试验台</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试验台总供电</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甲方提供总供电至试验台</w:t>
            </w:r>
          </w:p>
        </w:tc>
      </w:tr>
      <w:tr>
        <w:tblPrEx>
          <w:tblCellMar>
            <w:top w:w="0" w:type="dxa"/>
            <w:left w:w="108" w:type="dxa"/>
            <w:bottom w:w="0" w:type="dxa"/>
            <w:right w:w="108" w:type="dxa"/>
          </w:tblCellMar>
        </w:tblPrEx>
        <w:trPr>
          <w:trHeight w:val="576"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试验方法选择</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吸气流量计法；气体冷却法</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压缩机类型</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磁悬浮离心压缩机</w:t>
            </w:r>
          </w:p>
        </w:tc>
      </w:tr>
      <w:tr>
        <w:tblPrEx>
          <w:shd w:val="clear" w:color="auto" w:fill="FFFFFF" w:themeFill="background1"/>
          <w:tblCellMar>
            <w:top w:w="0" w:type="dxa"/>
            <w:left w:w="108" w:type="dxa"/>
            <w:bottom w:w="0" w:type="dxa"/>
            <w:right w:w="108" w:type="dxa"/>
          </w:tblCellMar>
        </w:tblPrEx>
        <w:trPr>
          <w:trHeight w:val="34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吸气流量范围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m³/h</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275-3100</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叶轮级数</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制冷剂</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R134a/R1234ze</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润滑油</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无</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电源</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 to 480(±10%）RMSL-L</w:t>
            </w:r>
          </w:p>
        </w:tc>
      </w:tr>
      <w:tr>
        <w:tblPrEx>
          <w:tblCellMar>
            <w:top w:w="0" w:type="dxa"/>
            <w:left w:w="108" w:type="dxa"/>
            <w:bottom w:w="0" w:type="dxa"/>
            <w:right w:w="108" w:type="dxa"/>
          </w:tblCellMar>
        </w:tblPrEx>
        <w:trPr>
          <w:trHeight w:val="9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0</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被试机电源</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V</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380V 3N-50HZ，690V 3N-50HZ</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1</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电压调节范围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±15%</w:t>
            </w:r>
          </w:p>
        </w:tc>
      </w:tr>
      <w:tr>
        <w:tblPrEx>
          <w:tblCellMar>
            <w:top w:w="0" w:type="dxa"/>
            <w:left w:w="108" w:type="dxa"/>
            <w:bottom w:w="0" w:type="dxa"/>
            <w:right w:w="108" w:type="dxa"/>
          </w:tblCellMar>
        </w:tblPrEx>
        <w:trPr>
          <w:trHeight w:val="343"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2</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供电频率</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Hz</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3</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压缩机转速（是否测量）</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rpm</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4</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压缩机功率范围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kＷ</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50-430kＷ</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5</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制热量范围（非国标工况）</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kW</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300-3500kW</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6</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蒸发温度范围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-10℃-25℃</w:t>
            </w:r>
          </w:p>
        </w:tc>
      </w:tr>
      <w:tr>
        <w:tblPrEx>
          <w:shd w:val="clear" w:color="auto" w:fill="FFFFFF" w:themeFill="background1"/>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7</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冷凝温度范围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35℃-65℃</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8</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-5℃-30℃</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9</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45-85℃</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0</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吸气过热度范围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1</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压缩机环境温度范围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常温</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2</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电机冷却要求</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氟冷（考虑出口过热，流量范围0.85-28.4m³/h）</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3</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轴承冷却要求</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氟冷（考虑出口过热，流量范围0.04-1.6m³/h）</w:t>
            </w:r>
          </w:p>
        </w:tc>
      </w:tr>
      <w:tr>
        <w:tblPrEx>
          <w:tblCellMar>
            <w:top w:w="0" w:type="dxa"/>
            <w:left w:w="108" w:type="dxa"/>
            <w:bottom w:w="0" w:type="dxa"/>
            <w:right w:w="108" w:type="dxa"/>
          </w:tblCellMar>
        </w:tblPrEx>
        <w:trPr>
          <w:trHeight w:val="4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4</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变频器冷却要求</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氟冷或空冷（考虑出口过热，流量范围0.6-16m³/h）</w:t>
            </w:r>
          </w:p>
        </w:tc>
      </w:tr>
      <w:tr>
        <w:tblPrEx>
          <w:tblCellMar>
            <w:top w:w="0" w:type="dxa"/>
            <w:left w:w="108" w:type="dxa"/>
            <w:bottom w:w="0" w:type="dxa"/>
            <w:right w:w="108" w:type="dxa"/>
          </w:tblCellMar>
        </w:tblPrEx>
        <w:trPr>
          <w:trHeight w:val="9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5</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补气流量范围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m³/h</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300-1350m³/h</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6</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补气压力范围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MPa abs</w:t>
            </w: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0.5-0.9MPa</w:t>
            </w:r>
          </w:p>
        </w:tc>
      </w:tr>
      <w:tr>
        <w:tblPrEx>
          <w:tblCellMar>
            <w:top w:w="0" w:type="dxa"/>
            <w:left w:w="108" w:type="dxa"/>
            <w:bottom w:w="0" w:type="dxa"/>
            <w:right w:w="108" w:type="dxa"/>
          </w:tblCellMar>
        </w:tblPrEx>
        <w:trPr>
          <w:trHeight w:val="288"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7</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补气温度范围</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20-45℃</w:t>
            </w:r>
          </w:p>
        </w:tc>
      </w:tr>
      <w:tr>
        <w:tblPrEx>
          <w:tblCellMar>
            <w:top w:w="0" w:type="dxa"/>
            <w:left w:w="108" w:type="dxa"/>
            <w:bottom w:w="0" w:type="dxa"/>
            <w:right w:w="108" w:type="dxa"/>
          </w:tblCellMar>
        </w:tblPrEx>
        <w:trPr>
          <w:trHeight w:val="9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8</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是否需要同时测试变频压缩机变频前后功率</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需要</w:t>
            </w:r>
          </w:p>
        </w:tc>
      </w:tr>
      <w:tr>
        <w:tblPrEx>
          <w:tblCellMar>
            <w:top w:w="0" w:type="dxa"/>
            <w:left w:w="108" w:type="dxa"/>
            <w:bottom w:w="0" w:type="dxa"/>
            <w:right w:w="108" w:type="dxa"/>
          </w:tblCellMar>
        </w:tblPrEx>
        <w:trPr>
          <w:trHeight w:val="9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9</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是否需要测试绕阻在线温升（带电情况下测试线圈绕阻）</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不需要</w:t>
            </w:r>
          </w:p>
        </w:tc>
      </w:tr>
      <w:tr>
        <w:tblPrEx>
          <w:tblCellMar>
            <w:top w:w="0" w:type="dxa"/>
            <w:left w:w="108" w:type="dxa"/>
            <w:bottom w:w="0" w:type="dxa"/>
            <w:right w:w="108" w:type="dxa"/>
          </w:tblCellMar>
        </w:tblPrEx>
        <w:trPr>
          <w:trHeight w:val="60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0</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可燃气体报警器是否配置，例如R1234yf气体使用</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需要</w:t>
            </w:r>
          </w:p>
        </w:tc>
      </w:tr>
      <w:tr>
        <w:trPr>
          <w:trHeight w:val="3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1</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关键仪表品牌是否有要求</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参见主要设备配置要求</w:t>
            </w:r>
          </w:p>
        </w:tc>
      </w:tr>
      <w:tr>
        <w:tblPrEx>
          <w:shd w:val="clear" w:color="auto" w:fill="FFFFFF" w:themeFill="background1"/>
          <w:tblCellMar>
            <w:top w:w="0" w:type="dxa"/>
            <w:left w:w="108" w:type="dxa"/>
            <w:bottom w:w="0" w:type="dxa"/>
            <w:right w:w="108" w:type="dxa"/>
          </w:tblCellMar>
        </w:tblPrEx>
        <w:trPr>
          <w:trHeight w:val="9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2</w:t>
            </w:r>
          </w:p>
        </w:tc>
        <w:tc>
          <w:tcPr>
            <w:tcW w:w="120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是否有其他测试需求例如：振动试验、噪声测试</w:t>
            </w:r>
          </w:p>
        </w:tc>
        <w:tc>
          <w:tcPr>
            <w:tcW w:w="54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287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测试工位需做隔离间（甲方负责）</w:t>
            </w:r>
          </w:p>
        </w:tc>
      </w:tr>
    </w:tbl>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备注：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① 系统按照运行R134a制冷剂进行设计；如有必要更换制冷剂时，由甲方自行负责清洗系统所有管路。</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② 测量范围表中所述离心式制无油冷压缩机的制冷量为R134a（蒸发温度6℃/冷凝温度36℃/过热度5℃/过冷度1℃）+（蒸发温度22℃/冷凝温度48℃/过热度5℃/过冷度2℃）时的额定热量范围。</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③ 甲方负责压缩机配套的变频器柜，若测试过程中需要更换不同配置的变频柜，该工作由甲方完成。</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④ 启动方式：全部变频启动，变频器压缩机自带，输入电源为50Hz，380V/690V。</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3.4测试参数范围要求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各工况点如下：</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drawing>
          <wp:inline distT="0" distB="0" distL="0" distR="0">
            <wp:extent cx="5081905" cy="2952750"/>
            <wp:effectExtent l="0" t="0" r="8255" b="3810"/>
            <wp:docPr id="201769052" name="图片 20176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9052" name="图片 2017690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97933" cy="2962200"/>
                    </a:xfrm>
                    <a:prstGeom prst="rect">
                      <a:avLst/>
                    </a:prstGeom>
                    <a:noFill/>
                    <a:ln>
                      <a:noFill/>
                    </a:ln>
                  </pic:spPr>
                </pic:pic>
              </a:graphicData>
            </a:graphic>
          </wp:inline>
        </w:drawing>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3.5测试参数范围及精度要求</w:t>
      </w:r>
    </w:p>
    <w:tbl>
      <w:tblPr>
        <w:tblStyle w:val="7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68"/>
        <w:gridCol w:w="2942"/>
        <w:gridCol w:w="1702"/>
        <w:gridCol w:w="1383"/>
        <w:gridCol w:w="15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 w:hRule="atLeast"/>
          <w:jc w:val="center"/>
        </w:trPr>
        <w:tc>
          <w:tcPr>
            <w:tcW w:w="462" w:type="pct"/>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770" w:type="pct"/>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参数</w:t>
            </w:r>
          </w:p>
        </w:tc>
        <w:tc>
          <w:tcPr>
            <w:tcW w:w="1024" w:type="pct"/>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测量范围</w:t>
            </w:r>
          </w:p>
        </w:tc>
        <w:tc>
          <w:tcPr>
            <w:tcW w:w="832" w:type="pct"/>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测量精度</w:t>
            </w:r>
          </w:p>
        </w:tc>
        <w:tc>
          <w:tcPr>
            <w:tcW w:w="913" w:type="pct"/>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控制精度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一级吸气压力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0~1.6Mpa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一级排气压力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0~1.6Mpa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二级吸气压力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0~1.6Mpa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二级排气压力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补气压力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一级吸气温度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一级排气温度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二级吸气温度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二级排气温度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60~150℃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0</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补气温度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0~150℃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1</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气体冷却器入口液体阀前压力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2</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气体冷却器入口液体阀前温度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3</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气体冷却器入口气体压力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462"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4</w:t>
            </w:r>
          </w:p>
        </w:tc>
        <w:tc>
          <w:tcPr>
            <w:tcW w:w="1770"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气体冷却器入口气体温度</w:t>
            </w:r>
          </w:p>
        </w:tc>
        <w:tc>
          <w:tcPr>
            <w:tcW w:w="1024"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0~150℃</w:t>
            </w:r>
          </w:p>
        </w:tc>
        <w:tc>
          <w:tcPr>
            <w:tcW w:w="832"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tcBorders>
              <w:top w:val="nil"/>
            </w:tcBorders>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5</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气体冷却器出口压力</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0~1.6Mpa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6</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气体冷却器出口温度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7</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气体冷却器环境温度</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8</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冷媒排气体积流量（不少于2台）</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120~2150m3/h</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9</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冷媒吸气体积流量（不少于2台）</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100~3100m3/h</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0</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冷媒补气体积流量（不少于2台）</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100~1500m3/h</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1</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冷媒液体质量流量（不少于4台，主回路、电机冷却、轴承冷却、变频器冷却）</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0~12000kg/h</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2</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体积流量计压力（不少于6套）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3</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体积流量计温度（不少于6套）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-35~150℃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4</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轴承、电机、变频器冷却入口压力（不少于3套）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0~4.0Mpa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5</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轴承、电机、变频器冷却出口压力（不少于3套）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0~1.6Mpa</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±0.25%</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±5kPa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6</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轴承、电机、变频器冷却出口温度（不少于3套）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-30~60℃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7</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轴承、电机、变频器冷却液体膨胀阀前温度（3套）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0~80℃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8</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调节水温（水箱、冷却水等4套）</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0~80℃</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9</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被测机电压</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200~460V</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读数±0.1%</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量程 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0</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被测机功率</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10~450kW</w:t>
            </w: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读数±0.1%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46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1</w:t>
            </w:r>
          </w:p>
        </w:tc>
        <w:tc>
          <w:tcPr>
            <w:tcW w:w="1770"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被测机频率</w:t>
            </w:r>
          </w:p>
        </w:tc>
        <w:tc>
          <w:tcPr>
            <w:tcW w:w="102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0Hz-580Hz</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p>
        </w:tc>
        <w:tc>
          <w:tcPr>
            <w:tcW w:w="832"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量程 0.1%</w:t>
            </w:r>
          </w:p>
        </w:tc>
        <w:tc>
          <w:tcPr>
            <w:tcW w:w="913"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w:t>
            </w:r>
          </w:p>
        </w:tc>
      </w:tr>
    </w:tbl>
    <w:p>
      <w:pPr>
        <w:pStyle w:val="58"/>
        <w:tabs>
          <w:tab w:val="left" w:pos="522"/>
        </w:tabs>
        <w:spacing w:before="160" w:line="360" w:lineRule="auto"/>
        <w:ind w:left="420" w:leftChars="200" w:firstLine="0" w:firstLineChars="0"/>
        <w:rPr>
          <w:rFonts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备注：</w:t>
      </w:r>
    </w:p>
    <w:p>
      <w:pPr>
        <w:pStyle w:val="58"/>
        <w:tabs>
          <w:tab w:val="left" w:pos="522"/>
        </w:tabs>
        <w:spacing w:before="160" w:line="360" w:lineRule="auto"/>
        <w:ind w:left="420" w:leftChars="200" w:firstLine="0" w:firstLineChars="0"/>
        <w:rPr>
          <w:rFonts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除以上测点外，需另外预留温度测点（0~150℃）及压力测点0~4.0Mpa，并可通过控制软件平台校准，温度测点预留数量不少于6个，压力测点预留数量不少于3个。</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 xml:space="preserve">四）设备主要配置要求 </w:t>
      </w:r>
    </w:p>
    <w:tbl>
      <w:tblPr>
        <w:tblStyle w:val="20"/>
        <w:tblW w:w="9336" w:type="dxa"/>
        <w:tblInd w:w="-16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46"/>
        <w:gridCol w:w="1729"/>
        <w:gridCol w:w="67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7"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体积流量计</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品牌：横河/E+H/罗斯蒙特/科隆，测量精度：±0.5%，带液晶显示，须满足本技术要求的温度测量范围，满足低温温度和抗腐蚀的要求，同时流量计须满足在此时溶液粘度下的测量准确性；提供1年有效期的流量计计量证书。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8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质量流量计</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品牌：横河/OVAL/艾默生/E+H/科隆，测量精度：±0.2%，带液晶显示，须满足本技术要求的温度测量范围，满足低温温度和抗腐蚀的要求，同时流量计须满足在此时溶液粘度下的测量准确性；提供1年有效期的流量计计量证书。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数据采集器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品牌：日本横河/Keysight，型号：GM10/34970系列，测量输入类型：DCV、TC、RTD、应变 预留至少8个通道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数字显示调节器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品牌：日本横河/山武，精度：±0.1%，型号：UT35A/SDC36。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电能表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品牌：日本横河，型号：WT333系列；精度：±0.5%，带电能积算功能。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调功器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品牌：希曼顿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电流互感器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品牌：彼爱琪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采样电阻</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品牌：日本横河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T型热电偶线</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品牌：上自或等同质量品牌，长度2000米，精度±0.5℃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温度传感器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品牌：千野/赛亿凌，规格：PT100，精度±0.1℃，出线端头有不锈钢弹簧丝保护，长度须满足插入水管的中间位置。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压力传感器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品牌：Microsensor或等同品牌，精度：±0.25%FS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压差传感器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品牌：川仪或等同品牌，精度：±0.5%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可编程控制器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品牌：OMRON/西门子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触摸屏</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品牌：威纶/Proface，规格型号：10.4英寸及以上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变频调速器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品牌：丹佛斯/ ABB /博世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稳压电源</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品牌：仪迪/思普/精华，规格：不低于600KVA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空气开关（含智能断路器）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品牌：施耐德/西门子/ABB/LS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接触器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品牌：施耐德/西门子/ABB/LS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r>
              <w:rPr>
                <w:rFonts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水泵</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品牌：凯泉/南方，机械密封，电机绝缘F级或以上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制冷剂管道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不锈钢304材质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冷却管道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材质：镀锌钢管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2</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冷冻管道</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材质：镀锌钢管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3</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取样段（压力、温度）</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实验台的被测机进出水管管口处制作压力温度取样口，温度取样口采用盲管直接放入的方式，盲管要求采用不锈钢管。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4</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板式换热器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品牌：同泽/唯益/宝德/远卓，配管时一次侧和二次侧入口处须安装过滤器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5</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气动阀门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测试主管路阀门必须采用气动式阀门；品牌：博雷/环球/西玛帝/沃特斯或等同质量品牌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6</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电动调节阀门</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品牌：山武/EMERSON/Badger/Haqun/SIEMENS或等同质量品牌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7</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冷却塔</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品牌：良机或等同质量品牌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8</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恒温水箱</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箱体采用整体设计，内层采用2mm以上厚度的SUS304不锈钢材料，外层可选用1mm厚的优质SUS304不锈钢板，水箱聚氨酯发泡保温。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r>
              <w:rPr>
                <w:rFonts w:asciiTheme="minorEastAsia" w:hAnsiTheme="minorEastAsia" w:eastAsiaTheme="minorEastAsia" w:cstheme="minorEastAsia"/>
                <w:szCs w:val="21"/>
                <w:highlight w:val="none"/>
              </w:rPr>
              <w:t>9</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电缆悬臂吊</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承重0.5吨，可以旋转、移动吊钩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0</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测试连接软管及工装</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实验室进出水管道各配置一组不锈钢304软管，配置相应法兰连接工装。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 w:hRule="atLeast"/>
        </w:trPr>
        <w:tc>
          <w:tcPr>
            <w:tcW w:w="648"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r>
              <w:rPr>
                <w:rFonts w:asciiTheme="minorEastAsia" w:hAnsiTheme="minorEastAsia" w:eastAsiaTheme="minorEastAsia" w:cstheme="minorEastAsia"/>
                <w:szCs w:val="21"/>
                <w:highlight w:val="none"/>
              </w:rPr>
              <w:t>1</w:t>
            </w:r>
          </w:p>
        </w:tc>
        <w:tc>
          <w:tcPr>
            <w:tcW w:w="176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电缆</w:t>
            </w:r>
          </w:p>
        </w:tc>
        <w:tc>
          <w:tcPr>
            <w:tcW w:w="6924" w:type="dxa"/>
            <w:tcBorders>
              <w:tl2br w:val="nil"/>
              <w:tr2bl w:val="nil"/>
            </w:tcBorders>
            <w:shd w:val="clear" w:color="auto" w:fill="auto"/>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品牌：天康、渝丰、南方、泰山或更优品牌，软线。</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五）其他技术要求</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1.带冷媒回收功能，实验完成可以将压缩机段的冷媒回收至系统，带抽真空功能；</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2.甲方提供冷却水及冷冻水，乙方需从甲方提供接口至试验台接水管（10米范围内）；</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3.水管与铜管走向需保证横平竖直，铜管均采用保温棉、水管采用橡塑+PVC进行保温；</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4.实验装置的布置位置由甲方指定，乙方进行布置，并提供设计三维效果图甲方沟通，甲方同意并确认后方可施工；</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5.所有试验台设备拆装安排方案需经甲方评审，确保无安全隐患，满足EH&amp;S 要求。对于安装过程中因乙方不当拆装造成的设备损坏等损失甲方不予负责，由乙方自行承担；</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6.建筑消防与防爆符合 GB 50016；</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7.乙方需提前考虑水、气管路布局，确保废水废气排放安全；</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8.试验台配置防爆排风系统与防爆传感器，防爆传感器数量不少于3台；</w:t>
      </w:r>
    </w:p>
    <w:p>
      <w:pPr>
        <w:pStyle w:val="58"/>
        <w:tabs>
          <w:tab w:val="left" w:pos="522"/>
        </w:tabs>
        <w:spacing w:before="160" w:line="360" w:lineRule="auto"/>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9.验收工况如下：</w:t>
      </w:r>
    </w:p>
    <w:tbl>
      <w:tblPr>
        <w:tblStyle w:val="7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82"/>
        <w:gridCol w:w="1470"/>
        <w:gridCol w:w="1476"/>
        <w:gridCol w:w="1476"/>
        <w:gridCol w:w="1476"/>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jc w:val="center"/>
        </w:trPr>
        <w:tc>
          <w:tcPr>
            <w:tcW w:w="591" w:type="pct"/>
            <w:vAlign w:val="center"/>
          </w:tcPr>
          <w:p>
            <w:pPr>
              <w:pStyle w:val="58"/>
              <w:tabs>
                <w:tab w:val="left" w:pos="522"/>
              </w:tabs>
              <w:spacing w:before="160"/>
              <w:ind w:firstLine="0" w:firstLineChars="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试验条件</w:t>
            </w:r>
          </w:p>
        </w:tc>
        <w:tc>
          <w:tcPr>
            <w:tcW w:w="88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机型</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排气压力 Bar_A</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吸气压力 Bar_A</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吸气温度 ℃</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排气温度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9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A</w:t>
            </w:r>
          </w:p>
        </w:tc>
        <w:tc>
          <w:tcPr>
            <w:tcW w:w="88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P100</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12.5</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3.2</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9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B</w:t>
            </w:r>
          </w:p>
        </w:tc>
        <w:tc>
          <w:tcPr>
            <w:tcW w:w="88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P100</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12.5</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6.1</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9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C</w:t>
            </w:r>
          </w:p>
        </w:tc>
        <w:tc>
          <w:tcPr>
            <w:tcW w:w="884"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P100</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18.9</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6.1</w:t>
            </w:r>
          </w:p>
        </w:tc>
        <w:tc>
          <w:tcPr>
            <w:tcW w:w="888"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25</w:t>
            </w:r>
          </w:p>
        </w:tc>
        <w:tc>
          <w:tcPr>
            <w:tcW w:w="861" w:type="pct"/>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79.6</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六）设备技术资料及随机附件要求：</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序号</w:t>
            </w:r>
          </w:p>
        </w:tc>
        <w:tc>
          <w:tcPr>
            <w:tcW w:w="1417"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项目</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设备资料</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机械图纸及电气图纸（电子版与2份过塑纸质版）、PLC程序、触摸屏文件、设备说明书（中文版）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易损件、耗材等</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提供备件及易损件的清单（包括使用周期，价格）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流程图及介绍</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乙方提供和制作实验室测试控制流程图和实验室介绍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417" w:type="dxa"/>
            <w:vAlign w:val="center"/>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认证</w:t>
            </w:r>
          </w:p>
        </w:tc>
        <w:tc>
          <w:tcPr>
            <w:tcW w:w="6033" w:type="dxa"/>
          </w:tcPr>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配合甲方完成GMPI认证</w:t>
            </w:r>
          </w:p>
        </w:tc>
      </w:tr>
    </w:tbl>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szCs w:val="21"/>
          <w:highlight w:val="none"/>
        </w:rPr>
        <w:t>七）其他：</w:t>
      </w:r>
      <w:r>
        <w:rPr>
          <w:rFonts w:hint="eastAsia" w:asciiTheme="minorEastAsia" w:hAnsiTheme="minorEastAsia" w:eastAsiaTheme="minorEastAsia" w:cstheme="minorEastAsia"/>
          <w:szCs w:val="21"/>
          <w:highlight w:val="none"/>
        </w:rPr>
        <w:t xml:space="preserve"> </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1.提供报价时应提供关键设备的详细配置、品牌、型号，作为技术协议附件。</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2.施工前，应进行技术交底，测试流程图、平面布置图、房体结构、电气图应经甲方评审。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3.现场施工，所有的管路、线槽、线架应符合现场施工规定，不得随意走线、布管。</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4.乙方完成从甲方配电柜取电，由乙方进行现场勘查。</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5.乙方须对甲方技术人员进行实验室的使用培训；</w:t>
      </w:r>
    </w:p>
    <w:p>
      <w:pPr>
        <w:pStyle w:val="58"/>
        <w:tabs>
          <w:tab w:val="left" w:pos="522"/>
        </w:tabs>
        <w:spacing w:before="160"/>
        <w:ind w:left="420" w:leftChars="200" w:firstLine="0" w:firstLineChars="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6.本实验室交付周期不超过120个自然天（自合同签署之日起）。</w:t>
      </w:r>
    </w:p>
    <w:p>
      <w:pPr>
        <w:pStyle w:val="58"/>
        <w:tabs>
          <w:tab w:val="left" w:pos="522"/>
        </w:tabs>
        <w:spacing w:before="160"/>
        <w:ind w:left="420" w:leftChars="200" w:firstLine="0" w:firstLineChars="0"/>
        <w:rPr>
          <w:rFonts w:ascii="宋体" w:hAnsi="宋体" w:cs="宋体"/>
          <w:szCs w:val="21"/>
          <w:highlight w:val="none"/>
        </w:rPr>
      </w:pPr>
      <w:r>
        <w:rPr>
          <w:rFonts w:hint="eastAsia" w:ascii="宋体" w:hAnsi="宋体" w:cs="宋体"/>
          <w:szCs w:val="21"/>
          <w:highlight w:val="none"/>
        </w:rPr>
        <w:t xml:space="preserve"> </w:t>
      </w:r>
    </w:p>
    <w:bookmarkEnd w:id="28"/>
    <w:bookmarkEnd w:id="29"/>
    <w:p>
      <w:pPr>
        <w:pStyle w:val="4"/>
        <w:rPr>
          <w:highlight w:val="none"/>
        </w:rPr>
      </w:pPr>
      <w:bookmarkStart w:id="42" w:name="_Toc6051"/>
      <w:r>
        <w:rPr>
          <w:rFonts w:hint="eastAsia"/>
          <w:highlight w:val="none"/>
        </w:rPr>
        <w:t>十一、其他要求</w:t>
      </w:r>
      <w:bookmarkEnd w:id="42"/>
    </w:p>
    <w:p>
      <w:pPr>
        <w:pStyle w:val="17"/>
        <w:spacing w:line="360" w:lineRule="auto"/>
        <w:rPr>
          <w:sz w:val="21"/>
          <w:szCs w:val="21"/>
          <w:highlight w:val="none"/>
        </w:rPr>
      </w:pPr>
      <w:r>
        <w:rPr>
          <w:rFonts w:hint="eastAsia"/>
          <w:kern w:val="2"/>
          <w:sz w:val="21"/>
          <w:szCs w:val="21"/>
          <w:highlight w:val="none"/>
        </w:rPr>
        <w:t>1</w:t>
      </w:r>
      <w:r>
        <w:rPr>
          <w:rFonts w:hint="eastAsia"/>
          <w:sz w:val="21"/>
          <w:szCs w:val="21"/>
          <w:highlight w:val="none"/>
        </w:rPr>
        <w:t>.定标原则：由招标单位确认</w:t>
      </w:r>
    </w:p>
    <w:p>
      <w:pPr>
        <w:spacing w:line="360" w:lineRule="auto"/>
        <w:rPr>
          <w:rFonts w:asciiTheme="minorEastAsia" w:hAnsiTheme="minorEastAsia"/>
          <w:b/>
          <w:bCs/>
          <w:szCs w:val="21"/>
          <w:highlight w:val="none"/>
        </w:rPr>
      </w:pPr>
      <w:r>
        <w:rPr>
          <w:rFonts w:hint="eastAsia" w:asciiTheme="minorEastAsia" w:hAnsiTheme="minorEastAsia"/>
          <w:szCs w:val="21"/>
          <w:highlight w:val="none"/>
        </w:rPr>
        <w:t>2.热泵性能实验室项目招标投标保证金为人民币10万元整，履约保证金为合同总额的5%，中标后保证金自动转为履约保证金，不足部分后补。非中标单位投标保证金将于定标后一个月后无息退还。</w:t>
      </w:r>
      <w:r>
        <w:rPr>
          <w:rFonts w:hint="eastAsia" w:asciiTheme="minorEastAsia" w:hAnsiTheme="minorEastAsia"/>
          <w:b/>
          <w:bCs/>
          <w:szCs w:val="21"/>
          <w:highlight w:val="none"/>
        </w:rPr>
        <w:t>以下为投标保证金转账账号：</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公司名称：瑞纳智能设备股份有限公司</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开户行：工行合肥阜阳北路支行</w:t>
      </w:r>
    </w:p>
    <w:p>
      <w:pPr>
        <w:spacing w:line="360" w:lineRule="auto"/>
        <w:rPr>
          <w:rFonts w:asciiTheme="minorEastAsia" w:hAnsiTheme="minorEastAsia"/>
          <w:szCs w:val="21"/>
          <w:highlight w:val="none"/>
        </w:rPr>
      </w:pPr>
      <w:r>
        <w:rPr>
          <w:rFonts w:hint="eastAsia" w:asciiTheme="minorEastAsia" w:hAnsiTheme="minorEastAsia"/>
          <w:b/>
          <w:bCs/>
          <w:szCs w:val="21"/>
          <w:highlight w:val="none"/>
        </w:rPr>
        <w:t>账号：1302 0137 0922 5800 527</w:t>
      </w: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b/>
          <w:bCs/>
          <w:szCs w:val="21"/>
          <w:highlight w:val="none"/>
        </w:rPr>
        <w:t>请务必不要直接提供现金，恕不接受现金支付，亦不接受以个人账户名义缴纳的保证金。</w:t>
      </w:r>
      <w:r>
        <w:rPr>
          <w:rFonts w:hint="eastAsia" w:asciiTheme="minorEastAsia" w:hAnsiTheme="minorEastAsia"/>
          <w:szCs w:val="21"/>
          <w:highlight w:val="none"/>
        </w:rPr>
        <w:t>发生以下情况投标保证金将被没收：</w:t>
      </w:r>
    </w:p>
    <w:p>
      <w:pPr>
        <w:spacing w:line="360" w:lineRule="auto"/>
        <w:rPr>
          <w:rFonts w:asciiTheme="minorEastAsia" w:hAnsiTheme="minorEastAsia"/>
          <w:szCs w:val="21"/>
          <w:highlight w:val="none"/>
        </w:rPr>
      </w:pPr>
      <w:r>
        <w:rPr>
          <w:rFonts w:hint="eastAsia" w:asciiTheme="minorEastAsia" w:hAnsiTheme="minorEastAsia"/>
          <w:szCs w:val="21"/>
          <w:highlight w:val="none"/>
        </w:rPr>
        <w:t>a) 投标人在投标有效期内撤回投标的；</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b) 投标人收到招标文件后3日历天内若提出弃标申请，或首轮投标后在发包人对招标文件做实质性调整，投标人在收到该调整内容后3日历天内若提出弃标申请，投标保证金可全额退还；除前述两种情况外，投标人未征得发包人同意，中途退出投标的。 </w:t>
      </w:r>
    </w:p>
    <w:p>
      <w:pPr>
        <w:spacing w:line="360" w:lineRule="auto"/>
        <w:rPr>
          <w:rFonts w:asciiTheme="minorEastAsia" w:hAnsiTheme="minorEastAsia"/>
          <w:szCs w:val="21"/>
          <w:highlight w:val="none"/>
        </w:rPr>
      </w:pPr>
      <w:r>
        <w:rPr>
          <w:rFonts w:hint="eastAsia" w:asciiTheme="minorEastAsia" w:hAnsiTheme="minorEastAsia"/>
          <w:szCs w:val="21"/>
          <w:highlight w:val="none"/>
        </w:rPr>
        <w:t>c) 发包人按招标往来函件及投标书编制中标通知书，投标单位收到中标通知书后， 7日历天内未盖章确认中标通知书，或拒绝按中标通知书内容在约定时间内与发包人签订合同。</w:t>
      </w:r>
    </w:p>
    <w:p>
      <w:pPr>
        <w:spacing w:line="360" w:lineRule="auto"/>
        <w:rPr>
          <w:rFonts w:asciiTheme="minorEastAsia" w:hAnsiTheme="minorEastAsia"/>
          <w:szCs w:val="21"/>
          <w:highlight w:val="none"/>
        </w:rPr>
      </w:pPr>
      <w:r>
        <w:rPr>
          <w:rFonts w:hint="eastAsia" w:asciiTheme="minorEastAsia" w:hAnsiTheme="minorEastAsia"/>
          <w:szCs w:val="21"/>
          <w:highlight w:val="none"/>
        </w:rPr>
        <w:t>d) 在评标过程中，发包人发现投标人以他人名义参加投标 、串通投标（投标文件在形式、内容及提供的相关证件等两份（处）或多份（处）出现包装、装订 、目录 、格式 、资料复印、非打印资料笔迹相似、标书内容表述及漏、缺、误相同），弄虚作假或其它不正当方式投标的。</w:t>
      </w:r>
    </w:p>
    <w:p>
      <w:pPr>
        <w:spacing w:line="360" w:lineRule="auto"/>
        <w:rPr>
          <w:rFonts w:asciiTheme="minorEastAsia" w:hAnsiTheme="minorEastAsia"/>
          <w:szCs w:val="21"/>
          <w:highlight w:val="none"/>
        </w:rPr>
      </w:pPr>
      <w:r>
        <w:rPr>
          <w:rFonts w:hint="eastAsia" w:asciiTheme="minorEastAsia" w:hAnsiTheme="minorEastAsia"/>
          <w:szCs w:val="21"/>
          <w:highlight w:val="none"/>
        </w:rPr>
        <w:t>5.中标人责任：</w:t>
      </w:r>
    </w:p>
    <w:p>
      <w:pPr>
        <w:spacing w:line="360" w:lineRule="auto"/>
        <w:rPr>
          <w:rFonts w:asciiTheme="minorEastAsia" w:hAnsiTheme="minorEastAsia"/>
          <w:szCs w:val="21"/>
          <w:highlight w:val="none"/>
        </w:rPr>
      </w:pPr>
      <w:r>
        <w:rPr>
          <w:rFonts w:hint="eastAsia" w:asciiTheme="minorEastAsia" w:hAnsiTheme="minorEastAsia"/>
          <w:szCs w:val="21"/>
          <w:highlight w:val="none"/>
        </w:rPr>
        <w:t>5．1所有供应的设备材料及施工工艺技术均须符合合同及工程规范说明内的要求及测试、运作、检查及一切有关国家法律法规及地方相关规定的要求。</w:t>
      </w:r>
    </w:p>
    <w:p>
      <w:pPr>
        <w:autoSpaceDE w:val="0"/>
        <w:autoSpaceDN w:val="0"/>
        <w:adjustRightInd w:val="0"/>
        <w:spacing w:line="360" w:lineRule="auto"/>
        <w:rPr>
          <w:rFonts w:asciiTheme="minorEastAsia" w:hAnsiTheme="minorEastAsia"/>
          <w:szCs w:val="21"/>
          <w:highlight w:val="none"/>
        </w:rPr>
      </w:pPr>
    </w:p>
    <w:p>
      <w:pPr>
        <w:pStyle w:val="7"/>
        <w:rPr>
          <w:highlight w:val="none"/>
        </w:rPr>
      </w:pPr>
      <w:bookmarkStart w:id="43" w:name="_Hlk102988092"/>
    </w:p>
    <w:p>
      <w:pPr>
        <w:pStyle w:val="3"/>
        <w:jc w:val="center"/>
        <w:rPr>
          <w:highlight w:val="none"/>
        </w:rPr>
      </w:pPr>
      <w:bookmarkStart w:id="44" w:name="_Toc13999"/>
      <w:r>
        <w:rPr>
          <w:rFonts w:hint="eastAsia"/>
          <w:highlight w:val="none"/>
        </w:rPr>
        <w:t>第二章： 投标文件格</w:t>
      </w:r>
      <w:bookmarkEnd w:id="43"/>
      <w:r>
        <w:rPr>
          <w:rFonts w:hint="eastAsia"/>
          <w:highlight w:val="none"/>
        </w:rPr>
        <w:t>式</w:t>
      </w:r>
      <w:bookmarkEnd w:id="44"/>
    </w:p>
    <w:p>
      <w:pPr>
        <w:spacing w:before="156" w:beforeLines="50" w:after="156" w:afterLines="50"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before="156" w:beforeLines="50" w:after="156" w:afterLines="50"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投 标 文 件</w:t>
      </w:r>
    </w:p>
    <w:p>
      <w:pPr>
        <w:spacing w:before="156" w:beforeLines="50" w:after="156" w:afterLines="50" w:line="360" w:lineRule="auto"/>
        <w:rPr>
          <w:rFonts w:asciiTheme="minorEastAsia" w:hAnsiTheme="minorEastAsia"/>
          <w:szCs w:val="21"/>
          <w:highlight w:val="none"/>
        </w:rPr>
      </w:pPr>
    </w:p>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szCs w:val="21"/>
          <w:highlight w:val="none"/>
        </w:rPr>
        <w:t>项目名称：</w:t>
      </w:r>
      <w:r>
        <w:rPr>
          <w:rFonts w:hint="eastAsia" w:asciiTheme="minorEastAsia" w:hAnsiTheme="minorEastAsia"/>
          <w:szCs w:val="21"/>
          <w:highlight w:val="none"/>
          <w:u w:val="single"/>
        </w:rPr>
        <w:t xml:space="preserve">            瑞纳智能研发实验室     </w:t>
      </w:r>
      <w:r>
        <w:rPr>
          <w:rFonts w:hint="eastAsia" w:asciiTheme="minorEastAsia" w:hAnsiTheme="minorEastAsia"/>
          <w:szCs w:val="21"/>
          <w:highlight w:val="none"/>
        </w:rPr>
        <w:t xml:space="preserve">            </w:t>
      </w:r>
    </w:p>
    <w:p>
      <w:pPr>
        <w:spacing w:line="360" w:lineRule="auto"/>
        <w:ind w:left="2310" w:hanging="2310" w:hangingChars="1100"/>
        <w:rPr>
          <w:rFonts w:asciiTheme="minorEastAsia" w:hAnsiTheme="minorEastAsia"/>
          <w:szCs w:val="21"/>
          <w:highlight w:val="none"/>
          <w:u w:val="single"/>
        </w:rPr>
      </w:pPr>
      <w:r>
        <w:rPr>
          <w:rFonts w:hint="eastAsia" w:asciiTheme="minorEastAsia" w:hAnsiTheme="minorEastAsia"/>
          <w:szCs w:val="21"/>
          <w:highlight w:val="none"/>
          <w:u w:val="single"/>
        </w:rPr>
        <w:t xml:space="preserve"> </w:t>
      </w:r>
    </w:p>
    <w:p>
      <w:pPr>
        <w:spacing w:line="360" w:lineRule="auto"/>
        <w:rPr>
          <w:rFonts w:asciiTheme="minorEastAsia" w:hAnsiTheme="minorEastAsia"/>
          <w:szCs w:val="21"/>
          <w:highlight w:val="none"/>
          <w:u w:val="single"/>
        </w:rPr>
      </w:pPr>
      <w:r>
        <w:rPr>
          <w:rFonts w:hint="eastAsia" w:asciiTheme="minorEastAsia" w:hAnsiTheme="minorEastAsia"/>
          <w:szCs w:val="21"/>
          <w:highlight w:val="none"/>
        </w:rPr>
        <w:t>招 标 人：</w:t>
      </w:r>
      <w:r>
        <w:rPr>
          <w:rFonts w:hint="eastAsia" w:asciiTheme="minorEastAsia" w:hAnsiTheme="minorEastAsia"/>
          <w:szCs w:val="21"/>
          <w:highlight w:val="none"/>
          <w:u w:val="single"/>
        </w:rPr>
        <w:t xml:space="preserve">           瑞纳智能设备股份有限公司                 </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u w:val="single"/>
        </w:rPr>
      </w:pPr>
      <w:r>
        <w:rPr>
          <w:rFonts w:hint="eastAsia" w:asciiTheme="minorEastAsia" w:hAnsiTheme="minorEastAsia"/>
          <w:szCs w:val="21"/>
          <w:highlight w:val="none"/>
        </w:rPr>
        <w:t>投 标 人：</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（盖章）</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szCs w:val="21"/>
          <w:highlight w:val="none"/>
        </w:rPr>
        <w:t>法定代表人或委托代理人：</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（签章）</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szCs w:val="21"/>
          <w:highlight w:val="none"/>
        </w:rPr>
      </w:pPr>
      <w:r>
        <w:rPr>
          <w:rFonts w:hint="eastAsia" w:asciiTheme="minorEastAsia" w:hAnsiTheme="minorEastAsia"/>
          <w:szCs w:val="21"/>
          <w:highlight w:val="none"/>
        </w:rPr>
        <w:t>日 期：</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日</w:t>
      </w: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7"/>
        <w:rPr>
          <w:rFonts w:asciiTheme="minorEastAsia" w:hAnsiTheme="minorEastAsia"/>
          <w:szCs w:val="21"/>
          <w:highlight w:val="none"/>
        </w:rPr>
      </w:pPr>
    </w:p>
    <w:p>
      <w:pPr>
        <w:pStyle w:val="4"/>
        <w:jc w:val="center"/>
        <w:rPr>
          <w:highlight w:val="none"/>
        </w:rPr>
      </w:pPr>
      <w:bookmarkStart w:id="45" w:name="_Toc21697"/>
      <w:r>
        <w:rPr>
          <w:rFonts w:hint="eastAsia"/>
          <w:highlight w:val="none"/>
        </w:rPr>
        <w:t>一、投标承诺函</w:t>
      </w:r>
      <w:bookmarkEnd w:id="45"/>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pStyle w:val="52"/>
        <w:spacing w:line="360" w:lineRule="auto"/>
        <w:jc w:val="both"/>
        <w:rPr>
          <w:rFonts w:asciiTheme="minorEastAsia" w:hAnsiTheme="minorEastAsia" w:eastAsiaTheme="minorEastAsia"/>
          <w:color w:val="auto"/>
          <w:sz w:val="21"/>
          <w:szCs w:val="21"/>
          <w:highlight w:val="none"/>
          <w:u w:val="single"/>
        </w:rPr>
      </w:pPr>
      <w:r>
        <w:rPr>
          <w:rFonts w:hint="eastAsia" w:asciiTheme="minorEastAsia" w:hAnsiTheme="minorEastAsia" w:eastAsiaTheme="minorEastAsia"/>
          <w:color w:val="auto"/>
          <w:sz w:val="21"/>
          <w:szCs w:val="21"/>
          <w:highlight w:val="none"/>
        </w:rPr>
        <w:t>致：</w:t>
      </w:r>
      <w:r>
        <w:rPr>
          <w:rFonts w:hint="eastAsia" w:asciiTheme="minorEastAsia" w:hAnsiTheme="minorEastAsia" w:eastAsiaTheme="minorEastAsia"/>
          <w:color w:val="auto"/>
          <w:sz w:val="21"/>
          <w:szCs w:val="21"/>
          <w:highlight w:val="none"/>
          <w:u w:val="single"/>
        </w:rPr>
        <w:t xml:space="preserve">瑞纳智能设备股份有限公司 </w:t>
      </w:r>
    </w:p>
    <w:p>
      <w:pPr>
        <w:spacing w:line="360" w:lineRule="auto"/>
        <w:rPr>
          <w:rFonts w:asciiTheme="minorEastAsia" w:hAnsiTheme="minorEastAsia"/>
          <w:b/>
          <w:bCs/>
          <w:szCs w:val="21"/>
          <w:highlight w:val="none"/>
          <w:u w:val="single"/>
        </w:rPr>
      </w:pPr>
      <w:r>
        <w:rPr>
          <w:rFonts w:hint="eastAsia" w:asciiTheme="minorEastAsia" w:hAnsiTheme="minorEastAsia"/>
          <w:szCs w:val="21"/>
          <w:highlight w:val="none"/>
        </w:rPr>
        <w:t xml:space="preserve">    我方已经详细阅读了贵公司关于瑞纳智能研发实验室项目的招标文件、标准合同等附件，完全理解了其中的内容，现参加此项项目投标，所作承诺如下：</w:t>
      </w:r>
    </w:p>
    <w:p>
      <w:pPr>
        <w:pStyle w:val="52"/>
        <w:spacing w:line="360" w:lineRule="auto"/>
        <w:ind w:firstLine="422" w:firstLineChars="200"/>
        <w:jc w:val="both"/>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一、项目投标造价：</w:t>
      </w:r>
    </w:p>
    <w:p>
      <w:pPr>
        <w:adjustRightInd w:val="0"/>
        <w:snapToGrid w:val="0"/>
        <w:spacing w:line="360"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我方完全接受招标书、标准合同、施工图等附件中有关计价方式、付款方式、工期、质量、奖罚措施等全部要求。</w:t>
      </w:r>
    </w:p>
    <w:p>
      <w:pPr>
        <w:adjustRightInd w:val="0"/>
        <w:snapToGrid w:val="0"/>
        <w:spacing w:line="360" w:lineRule="auto"/>
        <w:ind w:firstLine="420" w:firstLineChars="200"/>
        <w:jc w:val="left"/>
        <w:rPr>
          <w:rFonts w:asciiTheme="minorEastAsia" w:hAnsiTheme="minorEastAsia"/>
          <w:b/>
          <w:bCs/>
          <w:szCs w:val="21"/>
          <w:highlight w:val="none"/>
        </w:rPr>
      </w:pPr>
      <w:r>
        <w:rPr>
          <w:rFonts w:hint="eastAsia" w:asciiTheme="minorEastAsia" w:hAnsiTheme="minorEastAsia"/>
          <w:szCs w:val="21"/>
          <w:highlight w:val="none"/>
        </w:rPr>
        <w:t xml:space="preserve"> </w:t>
      </w:r>
      <w:r>
        <w:rPr>
          <w:rFonts w:hint="eastAsia" w:asciiTheme="minorEastAsia" w:hAnsiTheme="minorEastAsia"/>
          <w:b/>
          <w:bCs/>
          <w:szCs w:val="21"/>
          <w:highlight w:val="none"/>
        </w:rPr>
        <w:t xml:space="preserve">二、付款条件： </w:t>
      </w:r>
      <w:r>
        <w:rPr>
          <w:rFonts w:hint="eastAsia" w:asciiTheme="minorEastAsia" w:hAnsiTheme="minorEastAsia"/>
          <w:b/>
          <w:bCs/>
          <w:szCs w:val="21"/>
          <w:highlight w:val="none"/>
          <w:u w:val="single"/>
        </w:rPr>
        <w:t xml:space="preserve">                                            </w:t>
      </w:r>
      <w:r>
        <w:rPr>
          <w:rFonts w:hint="eastAsia" w:asciiTheme="minorEastAsia" w:hAnsiTheme="minorEastAsia"/>
          <w:b/>
          <w:bCs/>
          <w:szCs w:val="21"/>
          <w:highlight w:val="none"/>
        </w:rPr>
        <w:t xml:space="preserve"> 。</w:t>
      </w:r>
    </w:p>
    <w:p>
      <w:pPr>
        <w:pStyle w:val="52"/>
        <w:spacing w:line="360" w:lineRule="auto"/>
        <w:ind w:firstLine="422" w:firstLineChars="200"/>
        <w:jc w:val="both"/>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二、项目质量：我方承诺：</w:t>
      </w:r>
      <w:r>
        <w:rPr>
          <w:rFonts w:hint="eastAsia" w:asciiTheme="minorEastAsia" w:hAnsiTheme="minorEastAsia" w:eastAsiaTheme="minorEastAsia"/>
          <w:b/>
          <w:bCs/>
          <w:color w:val="auto"/>
          <w:sz w:val="21"/>
          <w:szCs w:val="21"/>
          <w:highlight w:val="none"/>
          <w:u w:val="single"/>
        </w:rPr>
        <w:t xml:space="preserve">                                     </w:t>
      </w:r>
      <w:r>
        <w:rPr>
          <w:rFonts w:hint="eastAsia" w:asciiTheme="minorEastAsia" w:hAnsiTheme="minorEastAsia" w:eastAsiaTheme="minorEastAsia"/>
          <w:b/>
          <w:bCs/>
          <w:color w:val="auto"/>
          <w:sz w:val="21"/>
          <w:szCs w:val="21"/>
          <w:highlight w:val="none"/>
        </w:rPr>
        <w:t xml:space="preserve"> 。</w:t>
      </w:r>
    </w:p>
    <w:p>
      <w:pPr>
        <w:pStyle w:val="52"/>
        <w:spacing w:line="360" w:lineRule="auto"/>
        <w:ind w:firstLine="422" w:firstLineChars="200"/>
        <w:jc w:val="both"/>
        <w:rPr>
          <w:rFonts w:asciiTheme="minorEastAsia" w:hAnsiTheme="minorEastAsia" w:eastAsiaTheme="minorEastAsia"/>
          <w:b/>
          <w:bCs/>
          <w:color w:val="auto"/>
          <w:sz w:val="21"/>
          <w:szCs w:val="21"/>
          <w:highlight w:val="none"/>
        </w:rPr>
      </w:pPr>
      <w:r>
        <w:rPr>
          <w:rFonts w:hint="eastAsia" w:asciiTheme="minorEastAsia" w:hAnsiTheme="minorEastAsia" w:eastAsiaTheme="minorEastAsia"/>
          <w:b/>
          <w:bCs/>
          <w:color w:val="auto"/>
          <w:sz w:val="21"/>
          <w:szCs w:val="21"/>
          <w:highlight w:val="none"/>
        </w:rPr>
        <w:t>三、生产及安装周期：我方承诺：</w:t>
      </w:r>
      <w:r>
        <w:rPr>
          <w:rFonts w:hint="eastAsia" w:asciiTheme="minorEastAsia" w:hAnsiTheme="minorEastAsia" w:eastAsiaTheme="minorEastAsia"/>
          <w:b/>
          <w:bCs/>
          <w:color w:val="auto"/>
          <w:sz w:val="21"/>
          <w:szCs w:val="21"/>
          <w:highlight w:val="none"/>
          <w:u w:val="single"/>
        </w:rPr>
        <w:t xml:space="preserve">                                </w:t>
      </w:r>
      <w:r>
        <w:rPr>
          <w:rFonts w:hint="eastAsia" w:asciiTheme="minorEastAsia" w:hAnsiTheme="minorEastAsia" w:eastAsiaTheme="minorEastAsia"/>
          <w:b/>
          <w:bCs/>
          <w:color w:val="auto"/>
          <w:sz w:val="21"/>
          <w:szCs w:val="21"/>
          <w:highlight w:val="none"/>
        </w:rPr>
        <w:t>。</w:t>
      </w:r>
    </w:p>
    <w:p>
      <w:pPr>
        <w:pStyle w:val="52"/>
        <w:spacing w:line="360" w:lineRule="auto"/>
        <w:ind w:firstLine="422" w:firstLineChars="200"/>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b/>
          <w:bCs/>
          <w:color w:val="auto"/>
          <w:sz w:val="21"/>
          <w:szCs w:val="21"/>
          <w:highlight w:val="none"/>
        </w:rPr>
        <w:t>四、质量保修期：我方承诺：</w:t>
      </w:r>
      <w:r>
        <w:rPr>
          <w:rFonts w:hint="eastAsia" w:asciiTheme="minorEastAsia" w:hAnsiTheme="minorEastAsia" w:eastAsiaTheme="minorEastAsia"/>
          <w:b/>
          <w:bCs/>
          <w:color w:val="auto"/>
          <w:sz w:val="21"/>
          <w:szCs w:val="21"/>
          <w:highlight w:val="none"/>
          <w:u w:val="single"/>
        </w:rPr>
        <w:t xml:space="preserve">                                   </w:t>
      </w:r>
      <w:r>
        <w:rPr>
          <w:rFonts w:hint="eastAsia" w:asciiTheme="minorEastAsia" w:hAnsiTheme="minorEastAsia" w:eastAsiaTheme="minorEastAsia"/>
          <w:b/>
          <w:bCs/>
          <w:color w:val="auto"/>
          <w:sz w:val="21"/>
          <w:szCs w:val="21"/>
          <w:highlight w:val="none"/>
        </w:rPr>
        <w:t xml:space="preserve"> 。</w:t>
      </w:r>
    </w:p>
    <w:p>
      <w:pPr>
        <w:pStyle w:val="52"/>
        <w:spacing w:line="360" w:lineRule="auto"/>
        <w:ind w:firstLine="420" w:firstLineChars="200"/>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特此承诺。</w:t>
      </w:r>
    </w:p>
    <w:p>
      <w:pPr>
        <w:spacing w:line="360" w:lineRule="auto"/>
        <w:ind w:firstLine="316" w:firstLineChars="150"/>
        <w:rPr>
          <w:rFonts w:asciiTheme="minorEastAsia" w:hAnsiTheme="minorEastAsia"/>
          <w:b/>
          <w:bCs/>
          <w:szCs w:val="21"/>
          <w:highlight w:val="none"/>
          <w:u w:val="single"/>
        </w:rPr>
      </w:pPr>
      <w:r>
        <w:rPr>
          <w:rFonts w:hint="eastAsia" w:asciiTheme="minorEastAsia" w:hAnsiTheme="minorEastAsia"/>
          <w:b/>
          <w:bCs/>
          <w:szCs w:val="21"/>
          <w:highlight w:val="none"/>
        </w:rPr>
        <w:t xml:space="preserve">          </w:t>
      </w:r>
    </w:p>
    <w:p>
      <w:pPr>
        <w:spacing w:line="360" w:lineRule="auto"/>
        <w:ind w:firstLine="2801" w:firstLineChars="1334"/>
        <w:rPr>
          <w:rFonts w:asciiTheme="minorEastAsia" w:hAnsiTheme="minorEastAsia"/>
          <w:szCs w:val="21"/>
          <w:highlight w:val="none"/>
        </w:rPr>
      </w:pPr>
      <w:r>
        <w:rPr>
          <w:rFonts w:hint="eastAsia" w:asciiTheme="minorEastAsia" w:hAnsiTheme="minorEastAsia"/>
          <w:szCs w:val="21"/>
          <w:highlight w:val="none"/>
        </w:rPr>
        <w:t xml:space="preserve">投标单位（盖章）： </w:t>
      </w:r>
    </w:p>
    <w:p>
      <w:pPr>
        <w:spacing w:line="360" w:lineRule="auto"/>
        <w:ind w:firstLine="2797" w:firstLineChars="1332"/>
        <w:rPr>
          <w:rFonts w:asciiTheme="minorEastAsia" w:hAnsiTheme="minorEastAsia"/>
          <w:szCs w:val="21"/>
          <w:highlight w:val="none"/>
        </w:rPr>
      </w:pPr>
      <w:r>
        <w:rPr>
          <w:rFonts w:hint="eastAsia" w:asciiTheme="minorEastAsia" w:hAnsiTheme="minorEastAsia"/>
          <w:szCs w:val="21"/>
          <w:highlight w:val="none"/>
        </w:rPr>
        <w:t>法人代表（签章）：（或委托授权代表）：</w:t>
      </w:r>
    </w:p>
    <w:p>
      <w:pPr>
        <w:spacing w:line="360" w:lineRule="auto"/>
        <w:ind w:firstLine="2801" w:firstLineChars="1334"/>
        <w:rPr>
          <w:rFonts w:asciiTheme="minorEastAsia" w:hAnsiTheme="minorEastAsia"/>
          <w:szCs w:val="21"/>
          <w:highlight w:val="none"/>
        </w:rPr>
      </w:pPr>
      <w:r>
        <w:rPr>
          <w:rFonts w:hint="eastAsia" w:asciiTheme="minorEastAsia" w:hAnsiTheme="minorEastAsia"/>
          <w:szCs w:val="21"/>
          <w:highlight w:val="none"/>
        </w:rPr>
        <w:t xml:space="preserve">联系人：   </w:t>
      </w:r>
    </w:p>
    <w:p>
      <w:pPr>
        <w:spacing w:line="360" w:lineRule="auto"/>
        <w:ind w:firstLine="2784" w:firstLineChars="1326"/>
        <w:jc w:val="right"/>
        <w:rPr>
          <w:rFonts w:asciiTheme="minorEastAsia" w:hAnsiTheme="minorEastAsia"/>
          <w:szCs w:val="21"/>
          <w:highlight w:val="none"/>
          <w:u w:val="single"/>
        </w:rPr>
      </w:pP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日</w:t>
      </w: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pStyle w:val="7"/>
        <w:rPr>
          <w:rFonts w:asciiTheme="minorEastAsia" w:hAnsiTheme="minorEastAsia"/>
          <w:szCs w:val="21"/>
          <w:highlight w:val="none"/>
          <w:u w:val="single"/>
        </w:rPr>
      </w:pPr>
    </w:p>
    <w:p>
      <w:pPr>
        <w:spacing w:line="360" w:lineRule="auto"/>
        <w:rPr>
          <w:rFonts w:asciiTheme="minorEastAsia" w:hAnsiTheme="minorEastAsia"/>
          <w:szCs w:val="21"/>
          <w:highlight w:val="none"/>
        </w:rPr>
      </w:pPr>
    </w:p>
    <w:p>
      <w:pPr>
        <w:pStyle w:val="7"/>
        <w:rPr>
          <w:highlight w:val="none"/>
        </w:rPr>
      </w:pPr>
    </w:p>
    <w:p>
      <w:pPr>
        <w:pStyle w:val="4"/>
        <w:jc w:val="center"/>
        <w:rPr>
          <w:highlight w:val="none"/>
        </w:rPr>
      </w:pPr>
      <w:bookmarkStart w:id="46" w:name="_Toc26839"/>
      <w:r>
        <w:rPr>
          <w:rFonts w:hint="eastAsia"/>
          <w:highlight w:val="none"/>
        </w:rPr>
        <w:t>二、法定代表人资格证明书</w:t>
      </w:r>
      <w:bookmarkEnd w:id="46"/>
    </w:p>
    <w:p>
      <w:pPr>
        <w:adjustRightInd w:val="0"/>
        <w:snapToGrid w:val="0"/>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adjustRightInd w:val="0"/>
        <w:snapToGrid w:val="0"/>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adjustRightInd w:val="0"/>
        <w:snapToGrid w:val="0"/>
        <w:spacing w:line="360" w:lineRule="auto"/>
        <w:ind w:firstLine="420" w:firstLineChars="200"/>
        <w:rPr>
          <w:rFonts w:asciiTheme="minorEastAsia" w:hAnsiTheme="minorEastAsia"/>
          <w:szCs w:val="21"/>
          <w:highlight w:val="none"/>
          <w:u w:val="single"/>
        </w:rPr>
      </w:pPr>
      <w:r>
        <w:rPr>
          <w:rFonts w:hint="eastAsia" w:asciiTheme="minorEastAsia" w:hAnsiTheme="minorEastAsia"/>
          <w:szCs w:val="21"/>
          <w:highlight w:val="none"/>
        </w:rPr>
        <w:t>单位名称：</w:t>
      </w:r>
      <w:r>
        <w:rPr>
          <w:rFonts w:hint="eastAsia" w:asciiTheme="minorEastAsia" w:hAnsiTheme="minorEastAsia"/>
          <w:szCs w:val="21"/>
          <w:highlight w:val="none"/>
          <w:u w:val="single"/>
        </w:rPr>
        <w:t xml:space="preserve">                                          </w:t>
      </w:r>
    </w:p>
    <w:p>
      <w:pPr>
        <w:adjustRightInd w:val="0"/>
        <w:snapToGri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单位性质：</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w:t>
      </w:r>
    </w:p>
    <w:p>
      <w:pPr>
        <w:adjustRightInd w:val="0"/>
        <w:snapToGrid w:val="0"/>
        <w:spacing w:line="360" w:lineRule="auto"/>
        <w:ind w:firstLine="420" w:firstLineChars="200"/>
        <w:rPr>
          <w:rFonts w:asciiTheme="minorEastAsia" w:hAnsiTheme="minorEastAsia"/>
          <w:szCs w:val="21"/>
          <w:highlight w:val="none"/>
          <w:u w:val="single"/>
        </w:rPr>
      </w:pPr>
      <w:r>
        <w:rPr>
          <w:rFonts w:hint="eastAsia" w:asciiTheme="minorEastAsia" w:hAnsiTheme="minorEastAsia"/>
          <w:szCs w:val="21"/>
          <w:highlight w:val="none"/>
        </w:rPr>
        <w:t>地    址：</w:t>
      </w:r>
      <w:r>
        <w:rPr>
          <w:rFonts w:hint="eastAsia" w:asciiTheme="minorEastAsia" w:hAnsiTheme="minorEastAsia"/>
          <w:szCs w:val="21"/>
          <w:highlight w:val="none"/>
          <w:u w:val="single"/>
        </w:rPr>
        <w:t xml:space="preserve">                                          </w:t>
      </w:r>
    </w:p>
    <w:p>
      <w:pPr>
        <w:adjustRightInd w:val="0"/>
        <w:snapToGri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成立时间：</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日</w:t>
      </w:r>
    </w:p>
    <w:p>
      <w:pPr>
        <w:adjustRightInd w:val="0"/>
        <w:snapToGrid w:val="0"/>
        <w:spacing w:line="360" w:lineRule="auto"/>
        <w:ind w:firstLine="420" w:firstLineChars="200"/>
        <w:rPr>
          <w:rFonts w:asciiTheme="minorEastAsia" w:hAnsiTheme="minorEastAsia"/>
          <w:szCs w:val="21"/>
          <w:highlight w:val="none"/>
          <w:u w:val="single"/>
        </w:rPr>
      </w:pPr>
      <w:r>
        <w:rPr>
          <w:rFonts w:hint="eastAsia" w:asciiTheme="minorEastAsia" w:hAnsiTheme="minorEastAsia"/>
          <w:szCs w:val="21"/>
          <w:highlight w:val="none"/>
        </w:rPr>
        <w:t>经营期限：</w:t>
      </w:r>
      <w:r>
        <w:rPr>
          <w:rFonts w:hint="eastAsia" w:asciiTheme="minorEastAsia" w:hAnsiTheme="minorEastAsia"/>
          <w:szCs w:val="21"/>
          <w:highlight w:val="none"/>
          <w:u w:val="single"/>
        </w:rPr>
        <w:t xml:space="preserve">                                          </w:t>
      </w:r>
    </w:p>
    <w:p>
      <w:pPr>
        <w:adjustRightInd w:val="0"/>
        <w:snapToGri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姓    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性别：</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年龄：</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w:t>
      </w:r>
    </w:p>
    <w:p>
      <w:pPr>
        <w:adjustRightInd w:val="0"/>
        <w:snapToGrid w:val="0"/>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系</w:t>
      </w:r>
      <w:r>
        <w:rPr>
          <w:rFonts w:hint="eastAsia" w:asciiTheme="minorEastAsia" w:hAnsiTheme="minorEastAsia"/>
          <w:szCs w:val="21"/>
          <w:highlight w:val="none"/>
          <w:u w:val="single"/>
        </w:rPr>
        <w:t xml:space="preserve">                                                （投标人名称）</w:t>
      </w:r>
      <w:r>
        <w:rPr>
          <w:rFonts w:hint="eastAsia" w:asciiTheme="minorEastAsia" w:hAnsiTheme="minorEastAsia"/>
          <w:szCs w:val="21"/>
          <w:highlight w:val="none"/>
        </w:rPr>
        <w:t>的法定代表人。</w:t>
      </w:r>
    </w:p>
    <w:p>
      <w:pPr>
        <w:adjustRightInd w:val="0"/>
        <w:snapToGrid w:val="0"/>
        <w:spacing w:line="360" w:lineRule="auto"/>
        <w:ind w:firstLine="840" w:firstLineChars="400"/>
        <w:rPr>
          <w:rFonts w:asciiTheme="minorEastAsia" w:hAnsiTheme="minorEastAsia"/>
          <w:szCs w:val="21"/>
          <w:highlight w:val="none"/>
        </w:rPr>
      </w:pPr>
      <w:r>
        <w:rPr>
          <w:rFonts w:hint="eastAsia" w:asciiTheme="minorEastAsia" w:hAnsiTheme="minorEastAsia"/>
          <w:szCs w:val="21"/>
          <w:highlight w:val="none"/>
        </w:rPr>
        <w:t>特此证明。</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ind w:firstLine="4830" w:firstLineChars="2300"/>
        <w:rPr>
          <w:rFonts w:asciiTheme="minorEastAsia" w:hAnsiTheme="minorEastAsia"/>
          <w:szCs w:val="21"/>
          <w:highlight w:val="none"/>
        </w:rPr>
      </w:pPr>
      <w:r>
        <w:rPr>
          <w:rFonts w:hint="eastAsia" w:asciiTheme="minorEastAsia" w:hAnsiTheme="minorEastAsia"/>
          <w:szCs w:val="21"/>
          <w:highlight w:val="none"/>
        </w:rPr>
        <w:t xml:space="preserve">投标人：（盖公章）    </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ind w:firstLine="4725" w:firstLineChars="2250"/>
        <w:rPr>
          <w:rFonts w:asciiTheme="minorEastAsia" w:hAnsiTheme="minorEastAsia"/>
          <w:szCs w:val="21"/>
          <w:highlight w:val="none"/>
        </w:rPr>
      </w:pPr>
      <w:r>
        <w:rPr>
          <w:rFonts w:hint="eastAsia" w:asciiTheme="minorEastAsia" w:hAnsiTheme="minorEastAsia"/>
          <w:szCs w:val="21"/>
          <w:highlight w:val="none"/>
        </w:rPr>
        <w:t>日期：    年  月   日</w:t>
      </w:r>
    </w:p>
    <w:p>
      <w:pPr>
        <w:spacing w:line="360" w:lineRule="auto"/>
        <w:ind w:firstLine="422" w:firstLineChars="200"/>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ind w:firstLine="422" w:firstLineChars="200"/>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ind w:firstLine="422" w:firstLineChars="200"/>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p>
    <w:p>
      <w:pPr>
        <w:spacing w:line="360" w:lineRule="auto"/>
        <w:ind w:firstLine="422" w:firstLineChars="200"/>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pStyle w:val="4"/>
        <w:jc w:val="center"/>
        <w:rPr>
          <w:highlight w:val="none"/>
        </w:rPr>
      </w:pPr>
      <w:bookmarkStart w:id="47" w:name="_Toc487"/>
      <w:r>
        <w:rPr>
          <w:rFonts w:hint="eastAsia"/>
          <w:highlight w:val="none"/>
        </w:rPr>
        <w:t>三、授权委托书</w:t>
      </w:r>
      <w:bookmarkEnd w:id="47"/>
    </w:p>
    <w:p>
      <w:pPr>
        <w:adjustRightInd w:val="0"/>
        <w:snapToGrid w:val="0"/>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本授权委托书声明：我 </w:t>
      </w:r>
      <w:r>
        <w:rPr>
          <w:rFonts w:hint="eastAsia" w:asciiTheme="minorEastAsia" w:hAnsiTheme="minorEastAsia"/>
          <w:szCs w:val="21"/>
          <w:highlight w:val="none"/>
          <w:u w:val="single"/>
        </w:rPr>
        <w:t xml:space="preserve">（姓名） </w:t>
      </w:r>
      <w:r>
        <w:rPr>
          <w:rFonts w:hint="eastAsia" w:asciiTheme="minorEastAsia" w:hAnsiTheme="minorEastAsia"/>
          <w:szCs w:val="21"/>
          <w:highlight w:val="none"/>
        </w:rPr>
        <w:t xml:space="preserve"> 系</w:t>
      </w:r>
      <w:r>
        <w:rPr>
          <w:rFonts w:hint="eastAsia" w:asciiTheme="minorEastAsia" w:hAnsiTheme="minorEastAsia"/>
          <w:szCs w:val="21"/>
          <w:highlight w:val="none"/>
          <w:u w:val="single"/>
        </w:rPr>
        <w:t xml:space="preserve"> （投标人名称）  </w:t>
      </w:r>
      <w:r>
        <w:rPr>
          <w:rFonts w:hint="eastAsia" w:asciiTheme="minorEastAsia" w:hAnsiTheme="minorEastAsia"/>
          <w:szCs w:val="21"/>
          <w:highlight w:val="none"/>
        </w:rPr>
        <w:t>的法定代表人，现授权委托</w:t>
      </w:r>
      <w:r>
        <w:rPr>
          <w:rFonts w:hint="eastAsia" w:asciiTheme="minorEastAsia" w:hAnsiTheme="minorEastAsia"/>
          <w:szCs w:val="21"/>
          <w:highlight w:val="none"/>
          <w:u w:val="single"/>
        </w:rPr>
        <w:t>（委托代理人所在单位名称）</w:t>
      </w:r>
      <w:r>
        <w:rPr>
          <w:rFonts w:hint="eastAsia" w:asciiTheme="minorEastAsia" w:hAnsiTheme="minorEastAsia"/>
          <w:szCs w:val="21"/>
          <w:highlight w:val="none"/>
        </w:rPr>
        <w:t>的（</w:t>
      </w:r>
      <w:r>
        <w:rPr>
          <w:rFonts w:hint="eastAsia" w:asciiTheme="minorEastAsia" w:hAnsiTheme="minorEastAsia"/>
          <w:szCs w:val="21"/>
          <w:highlight w:val="none"/>
          <w:u w:val="single"/>
        </w:rPr>
        <w:t>委托代理人姓名）</w:t>
      </w:r>
      <w:r>
        <w:rPr>
          <w:rFonts w:hint="eastAsia" w:asciiTheme="minorEastAsia" w:hAnsiTheme="minorEastAsia"/>
          <w:szCs w:val="21"/>
          <w:highlight w:val="none"/>
        </w:rPr>
        <w:t>为我公司签署瑞纳智能研发实验室已提交的投标文件的法定代表人的授权委托代理人，代理人全权代表我所签署的本项目已提交的投标文件内容我均承认。</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代理人无转委托权，特此委托。</w:t>
      </w:r>
    </w:p>
    <w:p>
      <w:pPr>
        <w:adjustRightInd w:val="0"/>
        <w:snapToGrid w:val="0"/>
        <w:spacing w:line="360" w:lineRule="auto"/>
        <w:ind w:firstLine="660"/>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rPr>
          <w:rFonts w:asciiTheme="minorEastAsia" w:hAnsiTheme="minorEastAsia"/>
          <w:szCs w:val="21"/>
          <w:highlight w:val="none"/>
          <w:u w:val="single"/>
        </w:rPr>
      </w:pPr>
      <w:r>
        <w:rPr>
          <w:rFonts w:hint="eastAsia" w:asciiTheme="minorEastAsia" w:hAnsiTheme="minorEastAsia"/>
          <w:szCs w:val="21"/>
          <w:highlight w:val="none"/>
        </w:rPr>
        <w:t xml:space="preserve">  代理人：</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性别：</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年龄：</w:t>
      </w:r>
      <w:r>
        <w:rPr>
          <w:rFonts w:hint="eastAsia" w:asciiTheme="minorEastAsia" w:hAnsiTheme="minorEastAsia"/>
          <w:szCs w:val="21"/>
          <w:highlight w:val="none"/>
          <w:u w:val="single"/>
        </w:rPr>
        <w:t xml:space="preserve">     </w:t>
      </w:r>
    </w:p>
    <w:p>
      <w:pPr>
        <w:adjustRightInd w:val="0"/>
        <w:snapToGrid w:val="0"/>
        <w:spacing w:line="360" w:lineRule="auto"/>
        <w:ind w:firstLine="660"/>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身份证号码：</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w:t>
      </w:r>
    </w:p>
    <w:p>
      <w:pPr>
        <w:adjustRightInd w:val="0"/>
        <w:snapToGrid w:val="0"/>
        <w:spacing w:line="360" w:lineRule="auto"/>
        <w:ind w:firstLine="660"/>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rPr>
          <w:rFonts w:asciiTheme="minorEastAsia" w:hAnsiTheme="minorEastAsia"/>
          <w:szCs w:val="21"/>
          <w:highlight w:val="none"/>
          <w:u w:val="single"/>
        </w:rPr>
      </w:pPr>
      <w:r>
        <w:rPr>
          <w:rFonts w:hint="eastAsia" w:asciiTheme="minorEastAsia" w:hAnsiTheme="minorEastAsia"/>
          <w:szCs w:val="21"/>
          <w:highlight w:val="none"/>
        </w:rPr>
        <w:t xml:space="preserve">  投标人：</w:t>
      </w:r>
      <w:r>
        <w:rPr>
          <w:rFonts w:hint="eastAsia" w:asciiTheme="minorEastAsia" w:hAnsiTheme="minorEastAsia"/>
          <w:szCs w:val="21"/>
          <w:highlight w:val="none"/>
          <w:u w:val="single"/>
        </w:rPr>
        <w:t xml:space="preserve">     （盖章）           </w:t>
      </w:r>
    </w:p>
    <w:p>
      <w:pPr>
        <w:adjustRightInd w:val="0"/>
        <w:snapToGrid w:val="0"/>
        <w:spacing w:line="360" w:lineRule="auto"/>
        <w:ind w:firstLine="660"/>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rPr>
          <w:rFonts w:asciiTheme="minorEastAsia" w:hAnsiTheme="minorEastAsia"/>
          <w:szCs w:val="21"/>
          <w:highlight w:val="none"/>
          <w:u w:val="single"/>
        </w:rPr>
      </w:pPr>
      <w:r>
        <w:rPr>
          <w:rFonts w:hint="eastAsia" w:asciiTheme="minorEastAsia" w:hAnsiTheme="minorEastAsia"/>
          <w:szCs w:val="21"/>
          <w:highlight w:val="none"/>
        </w:rPr>
        <w:t xml:space="preserve">  法定代表人：</w:t>
      </w:r>
      <w:r>
        <w:rPr>
          <w:rFonts w:hint="eastAsia" w:asciiTheme="minorEastAsia" w:hAnsiTheme="minorEastAsia"/>
          <w:szCs w:val="21"/>
          <w:highlight w:val="none"/>
          <w:u w:val="single"/>
        </w:rPr>
        <w:t xml:space="preserve">  （签字或盖章）         </w:t>
      </w:r>
    </w:p>
    <w:p>
      <w:pPr>
        <w:adjustRightInd w:val="0"/>
        <w:snapToGrid w:val="0"/>
        <w:spacing w:line="360" w:lineRule="auto"/>
        <w:ind w:firstLine="660"/>
        <w:rPr>
          <w:rFonts w:asciiTheme="minorEastAsia" w:hAnsiTheme="minorEastAsia"/>
          <w:szCs w:val="21"/>
          <w:highlight w:val="none"/>
        </w:rPr>
      </w:pPr>
      <w:r>
        <w:rPr>
          <w:rFonts w:hint="eastAsia" w:asciiTheme="minorEastAsia" w:hAnsiTheme="minorEastAsia"/>
          <w:szCs w:val="21"/>
          <w:highlight w:val="none"/>
        </w:rPr>
        <w:t xml:space="preserve"> </w:t>
      </w:r>
    </w:p>
    <w:p>
      <w:pPr>
        <w:adjustRightInd w:val="0"/>
        <w:snapToGrid w:val="0"/>
        <w:spacing w:line="360" w:lineRule="auto"/>
        <w:rPr>
          <w:rFonts w:asciiTheme="minorEastAsia" w:hAnsiTheme="minorEastAsia"/>
          <w:szCs w:val="21"/>
          <w:highlight w:val="none"/>
        </w:rPr>
      </w:pPr>
      <w:r>
        <w:rPr>
          <w:rFonts w:hint="eastAsia" w:asciiTheme="minorEastAsia" w:hAnsiTheme="minorEastAsia"/>
          <w:szCs w:val="21"/>
          <w:highlight w:val="none"/>
        </w:rPr>
        <w:t xml:space="preserve">  授权委托日期：</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日</w:t>
      </w:r>
    </w:p>
    <w:p>
      <w:pPr>
        <w:spacing w:line="360" w:lineRule="auto"/>
        <w:ind w:left="359" w:leftChars="171" w:firstLine="3948" w:firstLineChars="1880"/>
        <w:jc w:val="left"/>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rPr>
          <w:rFonts w:asciiTheme="minorEastAsia" w:hAnsiTheme="minorEastAsia"/>
          <w:b/>
          <w:bCs/>
          <w:spacing w:val="22"/>
          <w:szCs w:val="21"/>
          <w:highlight w:val="none"/>
        </w:rPr>
      </w:pPr>
      <w:r>
        <w:rPr>
          <w:rFonts w:hint="eastAsia" w:asciiTheme="minorEastAsia" w:hAnsiTheme="minorEastAsia"/>
          <w:b/>
          <w:bCs/>
          <w:spacing w:val="22"/>
          <w:szCs w:val="21"/>
          <w:highlight w:val="none"/>
        </w:rPr>
        <w:t xml:space="preserve"> </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pStyle w:val="4"/>
        <w:jc w:val="center"/>
        <w:rPr>
          <w:highlight w:val="none"/>
        </w:rPr>
      </w:pPr>
      <w:bookmarkStart w:id="48" w:name="_Toc5682"/>
      <w:r>
        <w:rPr>
          <w:rFonts w:hint="eastAsia"/>
          <w:highlight w:val="none"/>
        </w:rPr>
        <w:t>四、投标综合说明</w:t>
      </w:r>
      <w:bookmarkEnd w:id="48"/>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p>
      <w:pPr>
        <w:adjustRightInd w:val="0"/>
        <w:snapToGrid w:val="0"/>
        <w:spacing w:line="360" w:lineRule="auto"/>
        <w:jc w:val="left"/>
        <w:rPr>
          <w:rFonts w:asciiTheme="minorEastAsia" w:hAnsiTheme="minorEastAsia"/>
          <w:b/>
          <w:bCs/>
          <w:szCs w:val="21"/>
          <w:highlight w:val="none"/>
        </w:rPr>
      </w:pPr>
      <w:r>
        <w:rPr>
          <w:rFonts w:hint="eastAsia" w:asciiTheme="minorEastAsia" w:hAnsiTheme="minorEastAsia"/>
          <w:b/>
          <w:bCs/>
          <w:szCs w:val="21"/>
          <w:highlight w:val="none"/>
        </w:rPr>
        <w:t xml:space="preserve"> 1、企业概况</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2、企业已完成类似项目合同一览表</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tbl>
      <w:tblPr>
        <w:tblStyle w:val="20"/>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482"/>
        <w:gridCol w:w="2409"/>
        <w:gridCol w:w="214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项目名称</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项目地点</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项目规模</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项目等级</w:t>
            </w:r>
          </w:p>
        </w:tc>
        <w:tc>
          <w:tcPr>
            <w:tcW w:w="2409"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c>
          <w:tcPr>
            <w:tcW w:w="21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项目总价</w:t>
            </w:r>
          </w:p>
        </w:tc>
        <w:tc>
          <w:tcPr>
            <w:tcW w:w="2011"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开始日期</w:t>
            </w:r>
          </w:p>
        </w:tc>
        <w:tc>
          <w:tcPr>
            <w:tcW w:w="2409"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c>
          <w:tcPr>
            <w:tcW w:w="21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验收日期</w:t>
            </w:r>
          </w:p>
        </w:tc>
        <w:tc>
          <w:tcPr>
            <w:tcW w:w="2011"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受奖罚情况</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4" w:hRule="atLeast"/>
          <w:jc w:val="center"/>
        </w:trPr>
        <w:tc>
          <w:tcPr>
            <w:tcW w:w="8636" w:type="dxa"/>
            <w:gridSpan w:val="5"/>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Cs w:val="21"/>
                <w:highlight w:val="none"/>
              </w:rPr>
            </w:pPr>
            <w:r>
              <w:rPr>
                <w:rFonts w:hint="eastAsia" w:asciiTheme="minorEastAsia" w:hAnsiTheme="minorEastAsia"/>
                <w:szCs w:val="21"/>
                <w:highlight w:val="none"/>
              </w:rPr>
              <w:t>项目描述：</w:t>
            </w: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生产单位</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restart"/>
            <w:tcBorders>
              <w:top w:val="nil"/>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业</w:t>
            </w:r>
          </w:p>
          <w:p>
            <w:pPr>
              <w:spacing w:line="360" w:lineRule="auto"/>
              <w:jc w:val="center"/>
              <w:rPr>
                <w:rFonts w:asciiTheme="minorEastAsia" w:hAnsiTheme="minorEastAsia"/>
                <w:szCs w:val="21"/>
                <w:highlight w:val="none"/>
              </w:rPr>
            </w:pPr>
          </w:p>
          <w:p>
            <w:pPr>
              <w:spacing w:line="360" w:lineRule="auto"/>
              <w:jc w:val="center"/>
              <w:rPr>
                <w:rFonts w:asciiTheme="minorEastAsia" w:hAnsiTheme="minorEastAsia"/>
                <w:szCs w:val="21"/>
                <w:highlight w:val="none"/>
              </w:rPr>
            </w:pPr>
          </w:p>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主</w:t>
            </w:r>
          </w:p>
        </w:tc>
        <w:tc>
          <w:tcPr>
            <w:tcW w:w="1482"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单位名称</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482"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单位地址</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482"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联 系 人</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482"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联系电话</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482"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传真号码</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bl>
    <w:p>
      <w:pPr>
        <w:spacing w:line="360" w:lineRule="auto"/>
        <w:ind w:firstLine="315" w:firstLineChars="150"/>
        <w:rPr>
          <w:rFonts w:cs="Times New Roman" w:asciiTheme="minorEastAsia" w:hAnsiTheme="minorEastAsia"/>
          <w:szCs w:val="21"/>
          <w:highlight w:val="none"/>
        </w:rPr>
      </w:pPr>
      <w:r>
        <w:rPr>
          <w:rFonts w:hint="eastAsia" w:asciiTheme="minorEastAsia" w:hAnsiTheme="minorEastAsia"/>
          <w:szCs w:val="21"/>
          <w:highlight w:val="none"/>
        </w:rPr>
        <w:t xml:space="preserve">投标人： (盖公章)   </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日期：        年       月       日</w:t>
      </w:r>
    </w:p>
    <w:p>
      <w:pPr>
        <w:spacing w:line="360" w:lineRule="auto"/>
        <w:ind w:firstLine="105" w:firstLineChars="50"/>
        <w:jc w:val="center"/>
        <w:rPr>
          <w:rFonts w:asciiTheme="minorEastAsia" w:hAnsiTheme="minorEastAsia"/>
          <w:b/>
          <w:bCs/>
          <w:szCs w:val="21"/>
          <w:highlight w:val="none"/>
        </w:rPr>
      </w:pPr>
      <w:r>
        <w:rPr>
          <w:rFonts w:hint="eastAsia" w:asciiTheme="minorEastAsia" w:hAnsiTheme="minorEastAsia"/>
          <w:szCs w:val="21"/>
          <w:highlight w:val="none"/>
        </w:rPr>
        <w:br w:type="page"/>
      </w:r>
      <w:r>
        <w:rPr>
          <w:rFonts w:hint="eastAsia" w:asciiTheme="minorEastAsia" w:hAnsiTheme="minorEastAsia"/>
          <w:b/>
          <w:bCs/>
          <w:szCs w:val="21"/>
          <w:highlight w:val="none"/>
        </w:rPr>
        <w:t>3、企业目前正在实施的类似项目合同一览表</w:t>
      </w:r>
    </w:p>
    <w:p>
      <w:pPr>
        <w:spacing w:line="360" w:lineRule="auto"/>
        <w:rPr>
          <w:rFonts w:asciiTheme="minorEastAsia" w:hAnsiTheme="minorEastAsia"/>
          <w:b/>
          <w:bCs/>
          <w:szCs w:val="21"/>
          <w:highlight w:val="none"/>
        </w:rPr>
      </w:pPr>
      <w:r>
        <w:rPr>
          <w:rFonts w:hint="eastAsia" w:asciiTheme="minorEastAsia" w:hAnsiTheme="minorEastAsia"/>
          <w:b/>
          <w:bCs/>
          <w:szCs w:val="21"/>
          <w:highlight w:val="none"/>
        </w:rPr>
        <w:t xml:space="preserve"> </w:t>
      </w:r>
    </w:p>
    <w:tbl>
      <w:tblPr>
        <w:tblStyle w:val="20"/>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980"/>
        <w:gridCol w:w="2700"/>
        <w:gridCol w:w="1849"/>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项目名称</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项目地点</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项目规模</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项目等级</w:t>
            </w:r>
          </w:p>
        </w:tc>
        <w:tc>
          <w:tcPr>
            <w:tcW w:w="270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c>
          <w:tcPr>
            <w:tcW w:w="1849"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项目总价</w:t>
            </w:r>
          </w:p>
        </w:tc>
        <w:tc>
          <w:tcPr>
            <w:tcW w:w="2011"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开始日期</w:t>
            </w:r>
          </w:p>
        </w:tc>
        <w:tc>
          <w:tcPr>
            <w:tcW w:w="270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c>
          <w:tcPr>
            <w:tcW w:w="1849"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预计完成时间</w:t>
            </w:r>
          </w:p>
        </w:tc>
        <w:tc>
          <w:tcPr>
            <w:tcW w:w="2011"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4" w:type="dxa"/>
            <w:gridSpan w:val="5"/>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Cs w:val="21"/>
                <w:highlight w:val="none"/>
              </w:rPr>
            </w:pPr>
            <w:r>
              <w:rPr>
                <w:rFonts w:hint="eastAsia" w:asciiTheme="minorEastAsia" w:hAnsiTheme="minorEastAsia"/>
                <w:szCs w:val="21"/>
                <w:highlight w:val="none"/>
              </w:rPr>
              <w:t>项目主要内容：</w:t>
            </w: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设计单位</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restart"/>
            <w:tcBorders>
              <w:top w:val="nil"/>
              <w:left w:val="single" w:color="auto" w:sz="4" w:space="0"/>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业</w:t>
            </w:r>
          </w:p>
          <w:p>
            <w:pPr>
              <w:spacing w:line="360" w:lineRule="auto"/>
              <w:jc w:val="center"/>
              <w:rPr>
                <w:rFonts w:asciiTheme="minorEastAsia" w:hAnsiTheme="minorEastAsia"/>
                <w:szCs w:val="21"/>
                <w:highlight w:val="none"/>
              </w:rPr>
            </w:pPr>
          </w:p>
          <w:p>
            <w:pPr>
              <w:spacing w:line="360" w:lineRule="auto"/>
              <w:jc w:val="center"/>
              <w:rPr>
                <w:rFonts w:asciiTheme="minorEastAsia" w:hAnsiTheme="minorEastAsia"/>
                <w:szCs w:val="21"/>
                <w:highlight w:val="none"/>
              </w:rPr>
            </w:pPr>
          </w:p>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主</w:t>
            </w:r>
          </w:p>
        </w:tc>
        <w:tc>
          <w:tcPr>
            <w:tcW w:w="198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单位名称</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98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单位地址</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98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联 系 人</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98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联系电话</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4"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szCs w:val="21"/>
                <w:highlight w:val="none"/>
              </w:rPr>
            </w:pPr>
          </w:p>
        </w:tc>
        <w:tc>
          <w:tcPr>
            <w:tcW w:w="198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传真号码</w:t>
            </w:r>
          </w:p>
        </w:tc>
        <w:tc>
          <w:tcPr>
            <w:tcW w:w="6560" w:type="dxa"/>
            <w:gridSpan w:val="3"/>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Cs w:val="21"/>
                <w:highlight w:val="none"/>
              </w:rPr>
            </w:pPr>
          </w:p>
        </w:tc>
      </w:tr>
    </w:tbl>
    <w:p>
      <w:pPr>
        <w:spacing w:line="360" w:lineRule="auto"/>
        <w:ind w:firstLine="315" w:firstLineChars="150"/>
        <w:rPr>
          <w:rFonts w:cs="Times New Roman" w:asciiTheme="minorEastAsia" w:hAnsiTheme="minorEastAsia"/>
          <w:szCs w:val="21"/>
          <w:highlight w:val="none"/>
        </w:rPr>
      </w:pPr>
      <w:r>
        <w:rPr>
          <w:rFonts w:hint="eastAsia" w:asciiTheme="minorEastAsia" w:hAnsiTheme="minorEastAsia"/>
          <w:szCs w:val="21"/>
          <w:highlight w:val="none"/>
        </w:rPr>
        <w:t xml:space="preserve">投标人： (盖公章)   </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日期：        年       月       日</w:t>
      </w:r>
    </w:p>
    <w:p>
      <w:pPr>
        <w:pStyle w:val="7"/>
        <w:rPr>
          <w:rFonts w:asciiTheme="minorEastAsia" w:hAnsiTheme="minorEastAsia"/>
          <w:szCs w:val="21"/>
          <w:highlight w:val="none"/>
        </w:rPr>
      </w:pPr>
    </w:p>
    <w:p>
      <w:pPr>
        <w:pStyle w:val="7"/>
        <w:rPr>
          <w:rFonts w:asciiTheme="minorEastAsia" w:hAnsiTheme="minorEastAsia"/>
          <w:szCs w:val="21"/>
          <w:highlight w:val="none"/>
        </w:rPr>
      </w:pP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br w:type="page"/>
      </w:r>
    </w:p>
    <w:p>
      <w:pPr>
        <w:spacing w:line="360" w:lineRule="auto"/>
        <w:ind w:firstLine="570"/>
        <w:jc w:val="center"/>
        <w:rPr>
          <w:b/>
          <w:bCs/>
          <w:highlight w:val="none"/>
        </w:rPr>
      </w:pPr>
      <w:r>
        <w:rPr>
          <w:rFonts w:hint="eastAsia"/>
          <w:b/>
          <w:bCs/>
          <w:highlight w:val="none"/>
        </w:rPr>
        <w:t>五、技术方案</w:t>
      </w:r>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pStyle w:val="58"/>
        <w:numPr>
          <w:ilvl w:val="0"/>
          <w:numId w:val="34"/>
        </w:numPr>
        <w:spacing w:line="360" w:lineRule="auto"/>
        <w:ind w:firstLineChars="0"/>
        <w:jc w:val="left"/>
        <w:rPr>
          <w:rFonts w:cs="宋体" w:asciiTheme="minorEastAsia" w:hAnsiTheme="minorEastAsia" w:eastAsiaTheme="minorEastAsia"/>
          <w:kern w:val="0"/>
          <w:szCs w:val="21"/>
          <w:highlight w:val="none"/>
        </w:rPr>
      </w:pPr>
      <w:r>
        <w:rPr>
          <w:rFonts w:hint="eastAsia" w:asciiTheme="minorEastAsia" w:hAnsiTheme="minorEastAsia"/>
          <w:szCs w:val="21"/>
          <w:highlight w:val="none"/>
        </w:rPr>
        <w:t>技术标内容包含但不限于下列大纲要求。投标人应按招标文件要求提供至少包括以下内容的技术响应性文件：</w:t>
      </w:r>
      <w:r>
        <w:rPr>
          <w:rFonts w:hint="eastAsia" w:cs="宋体" w:asciiTheme="minorEastAsia" w:hAnsiTheme="minorEastAsia" w:eastAsiaTheme="minorEastAsia"/>
          <w:kern w:val="0"/>
          <w:szCs w:val="21"/>
          <w:highlight w:val="none"/>
        </w:rPr>
        <w:t xml:space="preserve"> </w:t>
      </w:r>
    </w:p>
    <w:p>
      <w:pPr>
        <w:pStyle w:val="58"/>
        <w:numPr>
          <w:ilvl w:val="0"/>
          <w:numId w:val="35"/>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 深化设计方案；</w:t>
      </w:r>
    </w:p>
    <w:p>
      <w:pPr>
        <w:pStyle w:val="58"/>
        <w:numPr>
          <w:ilvl w:val="0"/>
          <w:numId w:val="35"/>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 施工方案；</w:t>
      </w:r>
    </w:p>
    <w:p>
      <w:pPr>
        <w:pStyle w:val="58"/>
        <w:numPr>
          <w:ilvl w:val="0"/>
          <w:numId w:val="35"/>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 </w:t>
      </w:r>
      <w:r>
        <w:rPr>
          <w:rFonts w:cs="宋体" w:asciiTheme="minorEastAsia" w:hAnsiTheme="minorEastAsia" w:eastAsiaTheme="minorEastAsia"/>
          <w:kern w:val="0"/>
          <w:szCs w:val="21"/>
          <w:highlight w:val="none"/>
        </w:rPr>
        <w:t>项目实施进度计划和质量控制措施</w:t>
      </w:r>
      <w:r>
        <w:rPr>
          <w:rFonts w:hint="eastAsia" w:cs="宋体" w:asciiTheme="minorEastAsia" w:hAnsiTheme="minorEastAsia" w:eastAsiaTheme="minorEastAsia"/>
          <w:kern w:val="0"/>
          <w:szCs w:val="21"/>
          <w:highlight w:val="none"/>
        </w:rPr>
        <w:t>；</w:t>
      </w:r>
    </w:p>
    <w:p>
      <w:pPr>
        <w:pStyle w:val="58"/>
        <w:numPr>
          <w:ilvl w:val="0"/>
          <w:numId w:val="35"/>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主要投入设备详述。</w:t>
      </w:r>
    </w:p>
    <w:p>
      <w:pPr>
        <w:pStyle w:val="58"/>
        <w:spacing w:line="360" w:lineRule="auto"/>
        <w:ind w:left="426"/>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以上</w:t>
      </w:r>
      <w:r>
        <w:rPr>
          <w:rFonts w:cs="宋体" w:asciiTheme="minorEastAsia" w:hAnsiTheme="minorEastAsia" w:eastAsiaTheme="minorEastAsia"/>
          <w:kern w:val="0"/>
          <w:szCs w:val="21"/>
          <w:highlight w:val="none"/>
        </w:rPr>
        <w:t>图纸资料和数据应详细地说明设备特点，同时对与技术规范有异或有偏差之处应清楚地说明。除非招标人批准，设备的最终设计应按照这些图纸、资料和数据的详细说明进行。</w:t>
      </w:r>
    </w:p>
    <w:p>
      <w:pPr>
        <w:pStyle w:val="58"/>
        <w:widowControl/>
        <w:spacing w:line="360" w:lineRule="auto"/>
        <w:ind w:firstLine="0"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二、技术服务</w:t>
      </w:r>
    </w:p>
    <w:p>
      <w:pPr>
        <w:pStyle w:val="58"/>
        <w:widowControl/>
        <w:spacing w:line="360" w:lineRule="auto"/>
        <w:ind w:left="426" w:firstLine="0"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 xml:space="preserve">1、投标人应提供一份在现场进行指导安装、调试、试运行、试验验收以及合同中规定的其它方面指导和监督的详细计划。 </w:t>
      </w:r>
    </w:p>
    <w:p>
      <w:pPr>
        <w:pStyle w:val="58"/>
        <w:widowControl/>
        <w:spacing w:line="360" w:lineRule="auto"/>
        <w:ind w:left="426" w:firstLine="0" w:firstLineChars="0"/>
        <w:jc w:val="left"/>
        <w:rPr>
          <w:rFonts w:ascii="宋体" w:hAnsi="宋体" w:cs="宋体"/>
          <w:kern w:val="0"/>
          <w:szCs w:val="21"/>
          <w:highlight w:val="none"/>
        </w:rPr>
      </w:pPr>
      <w:r>
        <w:rPr>
          <w:rFonts w:hint="eastAsia" w:cs="宋体" w:asciiTheme="minorEastAsia" w:hAnsiTheme="minorEastAsia" w:eastAsiaTheme="minorEastAsia"/>
          <w:kern w:val="0"/>
          <w:szCs w:val="21"/>
          <w:highlight w:val="none"/>
        </w:rPr>
        <w:t>2、对负责现场指导和监督的专家须给出详细的资料（包括现场总代表）。</w:t>
      </w:r>
      <w:r>
        <w:rPr>
          <w:rFonts w:ascii="宋体" w:hAnsi="宋体" w:cs="宋体"/>
          <w:kern w:val="0"/>
          <w:szCs w:val="21"/>
          <w:highlight w:val="none"/>
        </w:rPr>
        <w:t xml:space="preserve"> </w:t>
      </w:r>
    </w:p>
    <w:p>
      <w:pPr>
        <w:pStyle w:val="58"/>
        <w:widowControl/>
        <w:numPr>
          <w:ilvl w:val="0"/>
          <w:numId w:val="34"/>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管理体系与保障措施</w:t>
      </w:r>
    </w:p>
    <w:p>
      <w:pPr>
        <w:pStyle w:val="58"/>
        <w:numPr>
          <w:ilvl w:val="0"/>
          <w:numId w:val="36"/>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质量管理体系及保障措施</w:t>
      </w:r>
    </w:p>
    <w:p>
      <w:pPr>
        <w:pStyle w:val="58"/>
        <w:numPr>
          <w:ilvl w:val="0"/>
          <w:numId w:val="36"/>
        </w:numPr>
        <w:spacing w:line="360" w:lineRule="auto"/>
        <w:ind w:firstLineChars="0"/>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售后管理体系及保障措施</w:t>
      </w:r>
    </w:p>
    <w:p>
      <w:pPr>
        <w:spacing w:line="360" w:lineRule="auto"/>
        <w:ind w:firstLine="315" w:firstLineChars="150"/>
        <w:rPr>
          <w:rFonts w:cs="宋体" w:asciiTheme="minorEastAsia" w:hAnsiTheme="minorEastAsia"/>
          <w:kern w:val="0"/>
          <w:szCs w:val="21"/>
          <w:highlight w:val="none"/>
        </w:rPr>
      </w:pPr>
      <w:r>
        <w:rPr>
          <w:rFonts w:hint="eastAsia" w:cs="宋体" w:asciiTheme="minorEastAsia" w:hAnsiTheme="minorEastAsia"/>
          <w:kern w:val="0"/>
          <w:szCs w:val="21"/>
          <w:highlight w:val="none"/>
        </w:rPr>
        <w:t xml:space="preserve"> </w:t>
      </w:r>
    </w:p>
    <w:p>
      <w:pPr>
        <w:spacing w:line="360" w:lineRule="auto"/>
        <w:ind w:firstLine="315" w:firstLineChars="150"/>
        <w:rPr>
          <w:rFonts w:cs="宋体" w:asciiTheme="minorEastAsia" w:hAnsiTheme="minorEastAsia"/>
          <w:kern w:val="0"/>
          <w:szCs w:val="21"/>
          <w:highlight w:val="none"/>
        </w:rPr>
      </w:pPr>
    </w:p>
    <w:p>
      <w:pPr>
        <w:spacing w:line="360" w:lineRule="auto"/>
        <w:ind w:firstLine="315" w:firstLineChars="150"/>
        <w:rPr>
          <w:rFonts w:cs="宋体" w:asciiTheme="minorEastAsia" w:hAnsiTheme="minorEastAsia"/>
          <w:kern w:val="0"/>
          <w:szCs w:val="21"/>
          <w:highlight w:val="none"/>
        </w:rPr>
      </w:pPr>
    </w:p>
    <w:p>
      <w:pPr>
        <w:spacing w:line="360" w:lineRule="auto"/>
        <w:ind w:firstLine="315" w:firstLineChars="150"/>
        <w:rPr>
          <w:rFonts w:cs="宋体" w:asciiTheme="minorEastAsia" w:hAnsiTheme="minorEastAsia"/>
          <w:kern w:val="0"/>
          <w:szCs w:val="21"/>
          <w:highlight w:val="none"/>
        </w:rPr>
      </w:pP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 xml:space="preserve">投标人： (盖公章)   </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 xml:space="preserve">         </w:t>
      </w:r>
    </w:p>
    <w:p>
      <w:pPr>
        <w:spacing w:line="360" w:lineRule="auto"/>
        <w:ind w:firstLine="315" w:firstLineChars="150"/>
        <w:rPr>
          <w:rFonts w:asciiTheme="minorEastAsia" w:hAnsiTheme="minorEastAsia"/>
          <w:szCs w:val="21"/>
          <w:highlight w:val="none"/>
        </w:rPr>
      </w:pPr>
      <w:r>
        <w:rPr>
          <w:rFonts w:hint="eastAsia" w:asciiTheme="minorEastAsia" w:hAnsiTheme="minorEastAsia"/>
          <w:szCs w:val="21"/>
          <w:highlight w:val="none"/>
        </w:rPr>
        <w:t>日期：        年       月       日</w:t>
      </w: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widowControl/>
        <w:spacing w:line="360" w:lineRule="auto"/>
        <w:jc w:val="center"/>
        <w:rPr>
          <w:rFonts w:eastAsia="黑体"/>
          <w:sz w:val="30"/>
          <w:szCs w:val="30"/>
          <w:highlight w:val="none"/>
        </w:rPr>
      </w:pPr>
      <w:r>
        <w:rPr>
          <w:rFonts w:eastAsia="黑体"/>
          <w:sz w:val="28"/>
          <w:szCs w:val="28"/>
          <w:highlight w:val="none"/>
        </w:rPr>
        <w:t>技术规格、参数偏离表</w:t>
      </w:r>
    </w:p>
    <w:p>
      <w:pPr>
        <w:pStyle w:val="17"/>
        <w:spacing w:line="360" w:lineRule="auto"/>
        <w:rPr>
          <w:rFonts w:ascii="Times New Roman" w:hAnsi="Times New Roman"/>
          <w:sz w:val="21"/>
          <w:highlight w:val="none"/>
        </w:rPr>
      </w:pPr>
      <w:r>
        <w:rPr>
          <w:rFonts w:ascii="Times New Roman" w:hAnsi="Times New Roman"/>
          <w:sz w:val="21"/>
          <w:highlight w:val="none"/>
        </w:rPr>
        <w:t xml:space="preserve">投标人名称：                                           项目编号： </w:t>
      </w:r>
    </w:p>
    <w:p>
      <w:pPr>
        <w:spacing w:line="360" w:lineRule="auto"/>
        <w:jc w:val="left"/>
        <w:rPr>
          <w:color w:val="FF0000"/>
          <w:highlight w:val="none"/>
        </w:rPr>
      </w:pPr>
      <w:r>
        <w:rPr>
          <w:kern w:val="0"/>
          <w:highlight w:val="none"/>
        </w:rPr>
        <w:t xml:space="preserve">项目名称：                                                </w:t>
      </w:r>
      <w:r>
        <w:rPr>
          <w:highlight w:val="none"/>
        </w:rPr>
        <w:tab/>
      </w:r>
      <w:r>
        <w:rPr>
          <w:highlight w:val="none"/>
        </w:rPr>
        <w:tab/>
      </w:r>
      <w:r>
        <w:rPr>
          <w:highlight w:val="none"/>
        </w:rPr>
        <w:tab/>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16"/>
        <w:gridCol w:w="2316"/>
        <w:gridCol w:w="1674"/>
        <w:gridCol w:w="183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76" w:type="dxa"/>
            <w:vMerge w:val="restart"/>
            <w:vAlign w:val="center"/>
          </w:tcPr>
          <w:p>
            <w:pPr>
              <w:spacing w:line="360" w:lineRule="auto"/>
              <w:jc w:val="center"/>
              <w:rPr>
                <w:highlight w:val="none"/>
              </w:rPr>
            </w:pPr>
            <w:r>
              <w:rPr>
                <w:highlight w:val="none"/>
              </w:rPr>
              <w:t>序号</w:t>
            </w:r>
          </w:p>
        </w:tc>
        <w:tc>
          <w:tcPr>
            <w:tcW w:w="3432" w:type="dxa"/>
            <w:gridSpan w:val="2"/>
            <w:vAlign w:val="center"/>
          </w:tcPr>
          <w:p>
            <w:pPr>
              <w:spacing w:line="360" w:lineRule="auto"/>
              <w:jc w:val="center"/>
              <w:rPr>
                <w:highlight w:val="none"/>
              </w:rPr>
            </w:pPr>
            <w:r>
              <w:rPr>
                <w:highlight w:val="none"/>
              </w:rPr>
              <w:t>招标文件条款</w:t>
            </w:r>
          </w:p>
        </w:tc>
        <w:tc>
          <w:tcPr>
            <w:tcW w:w="3511" w:type="dxa"/>
            <w:gridSpan w:val="2"/>
            <w:vAlign w:val="center"/>
          </w:tcPr>
          <w:p>
            <w:pPr>
              <w:spacing w:line="360" w:lineRule="auto"/>
              <w:jc w:val="center"/>
              <w:rPr>
                <w:highlight w:val="none"/>
              </w:rPr>
            </w:pPr>
            <w:r>
              <w:rPr>
                <w:highlight w:val="none"/>
              </w:rPr>
              <w:t>投标文件条款</w:t>
            </w:r>
          </w:p>
        </w:tc>
        <w:tc>
          <w:tcPr>
            <w:tcW w:w="900" w:type="dxa"/>
            <w:vAlign w:val="center"/>
          </w:tcPr>
          <w:p>
            <w:pPr>
              <w:spacing w:line="360" w:lineRule="auto"/>
              <w:jc w:val="center"/>
              <w:rPr>
                <w:highlight w:val="none"/>
              </w:rPr>
            </w:pPr>
            <w:r>
              <w:rPr>
                <w:highlight w:val="none"/>
              </w:rPr>
              <w:t>偏离/不偏离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6" w:type="dxa"/>
            <w:vMerge w:val="continue"/>
            <w:vAlign w:val="center"/>
          </w:tcPr>
          <w:p>
            <w:pPr>
              <w:spacing w:line="360" w:lineRule="auto"/>
              <w:jc w:val="center"/>
              <w:rPr>
                <w:highlight w:val="none"/>
              </w:rPr>
            </w:pPr>
          </w:p>
        </w:tc>
        <w:tc>
          <w:tcPr>
            <w:tcW w:w="1116" w:type="dxa"/>
            <w:vAlign w:val="center"/>
          </w:tcPr>
          <w:p>
            <w:pPr>
              <w:spacing w:line="360" w:lineRule="auto"/>
              <w:jc w:val="center"/>
              <w:rPr>
                <w:highlight w:val="none"/>
              </w:rPr>
            </w:pPr>
            <w:r>
              <w:rPr>
                <w:highlight w:val="none"/>
              </w:rPr>
              <w:t>条款号</w:t>
            </w:r>
          </w:p>
        </w:tc>
        <w:tc>
          <w:tcPr>
            <w:tcW w:w="2316" w:type="dxa"/>
            <w:vAlign w:val="center"/>
          </w:tcPr>
          <w:p>
            <w:pPr>
              <w:spacing w:line="360" w:lineRule="auto"/>
              <w:jc w:val="center"/>
              <w:rPr>
                <w:highlight w:val="none"/>
              </w:rPr>
            </w:pPr>
            <w:r>
              <w:rPr>
                <w:highlight w:val="none"/>
              </w:rPr>
              <w:t>条款内容</w:t>
            </w:r>
          </w:p>
        </w:tc>
        <w:tc>
          <w:tcPr>
            <w:tcW w:w="1674" w:type="dxa"/>
            <w:vAlign w:val="center"/>
          </w:tcPr>
          <w:p>
            <w:pPr>
              <w:spacing w:line="360" w:lineRule="auto"/>
              <w:jc w:val="center"/>
              <w:rPr>
                <w:highlight w:val="none"/>
              </w:rPr>
            </w:pPr>
            <w:r>
              <w:rPr>
                <w:highlight w:val="none"/>
              </w:rPr>
              <w:t>条款号</w:t>
            </w:r>
          </w:p>
        </w:tc>
        <w:tc>
          <w:tcPr>
            <w:tcW w:w="1837" w:type="dxa"/>
            <w:vAlign w:val="center"/>
          </w:tcPr>
          <w:p>
            <w:pPr>
              <w:spacing w:line="360" w:lineRule="auto"/>
              <w:jc w:val="center"/>
              <w:rPr>
                <w:highlight w:val="none"/>
              </w:rPr>
            </w:pPr>
            <w:r>
              <w:rPr>
                <w:highlight w:val="none"/>
              </w:rPr>
              <w:t>条款内容</w:t>
            </w:r>
          </w:p>
        </w:tc>
        <w:tc>
          <w:tcPr>
            <w:tcW w:w="900" w:type="dxa"/>
            <w:vAlign w:val="center"/>
          </w:tcPr>
          <w:p>
            <w:pPr>
              <w:spacing w:line="360" w:lineRule="auto"/>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76" w:type="dxa"/>
            <w:vAlign w:val="center"/>
          </w:tcPr>
          <w:p>
            <w:pPr>
              <w:spacing w:line="360" w:lineRule="auto"/>
              <w:jc w:val="center"/>
              <w:rPr>
                <w:b/>
                <w:sz w:val="28"/>
                <w:highlight w:val="none"/>
              </w:rPr>
            </w:pPr>
          </w:p>
        </w:tc>
        <w:tc>
          <w:tcPr>
            <w:tcW w:w="1116" w:type="dxa"/>
            <w:vAlign w:val="center"/>
          </w:tcPr>
          <w:p>
            <w:pPr>
              <w:spacing w:line="360" w:lineRule="auto"/>
              <w:jc w:val="center"/>
              <w:rPr>
                <w:b/>
                <w:sz w:val="28"/>
                <w:highlight w:val="none"/>
              </w:rPr>
            </w:pPr>
          </w:p>
        </w:tc>
        <w:tc>
          <w:tcPr>
            <w:tcW w:w="2316" w:type="dxa"/>
            <w:vAlign w:val="center"/>
          </w:tcPr>
          <w:p>
            <w:pPr>
              <w:spacing w:line="360" w:lineRule="auto"/>
              <w:jc w:val="center"/>
              <w:rPr>
                <w:b/>
                <w:sz w:val="28"/>
                <w:highlight w:val="none"/>
              </w:rPr>
            </w:pPr>
          </w:p>
        </w:tc>
        <w:tc>
          <w:tcPr>
            <w:tcW w:w="1674" w:type="dxa"/>
            <w:vAlign w:val="center"/>
          </w:tcPr>
          <w:p>
            <w:pPr>
              <w:spacing w:line="360" w:lineRule="auto"/>
              <w:jc w:val="center"/>
              <w:rPr>
                <w:b/>
                <w:sz w:val="28"/>
                <w:highlight w:val="none"/>
              </w:rPr>
            </w:pPr>
          </w:p>
        </w:tc>
        <w:tc>
          <w:tcPr>
            <w:tcW w:w="1837" w:type="dxa"/>
            <w:vAlign w:val="center"/>
          </w:tcPr>
          <w:p>
            <w:pPr>
              <w:spacing w:line="360" w:lineRule="auto"/>
              <w:jc w:val="center"/>
              <w:rPr>
                <w:b/>
                <w:sz w:val="28"/>
                <w:highlight w:val="none"/>
              </w:rPr>
            </w:pPr>
          </w:p>
        </w:tc>
        <w:tc>
          <w:tcPr>
            <w:tcW w:w="900" w:type="dxa"/>
            <w:vAlign w:val="center"/>
          </w:tcPr>
          <w:p>
            <w:pPr>
              <w:spacing w:line="360" w:lineRule="auto"/>
              <w:jc w:val="center"/>
              <w:rPr>
                <w:b/>
                <w:sz w:val="28"/>
                <w:highlight w:val="none"/>
              </w:rPr>
            </w:pPr>
          </w:p>
        </w:tc>
      </w:tr>
    </w:tbl>
    <w:p>
      <w:pPr>
        <w:spacing w:line="360" w:lineRule="auto"/>
        <w:ind w:firstLine="420" w:firstLineChars="200"/>
        <w:rPr>
          <w:highlight w:val="none"/>
        </w:rPr>
      </w:pPr>
    </w:p>
    <w:p>
      <w:pPr>
        <w:spacing w:line="360" w:lineRule="auto"/>
        <w:ind w:firstLine="420" w:firstLineChars="200"/>
        <w:rPr>
          <w:highlight w:val="none"/>
        </w:rPr>
      </w:pPr>
      <w:r>
        <w:rPr>
          <w:highlight w:val="none"/>
        </w:rPr>
        <w:t>投标人名称：（盖公章</w:t>
      </w:r>
      <w:r>
        <w:rPr>
          <w:highlight w:val="none"/>
        </w:rPr>
        <w:tab/>
      </w:r>
      <w:r>
        <w:rPr>
          <w:highlight w:val="none"/>
        </w:rPr>
        <w:t>）</w:t>
      </w:r>
      <w:r>
        <w:rPr>
          <w:highlight w:val="none"/>
        </w:rPr>
        <w:tab/>
      </w:r>
      <w:r>
        <w:rPr>
          <w:highlight w:val="none"/>
        </w:rPr>
        <w:tab/>
      </w:r>
      <w:r>
        <w:rPr>
          <w:highlight w:val="none"/>
        </w:rPr>
        <w:tab/>
      </w:r>
      <w:r>
        <w:rPr>
          <w:highlight w:val="none"/>
        </w:rPr>
        <w:tab/>
      </w:r>
      <w:r>
        <w:rPr>
          <w:highlight w:val="none"/>
        </w:rPr>
        <w:t>授权代表签字：</w:t>
      </w:r>
      <w:r>
        <w:rPr>
          <w:highlight w:val="none"/>
        </w:rPr>
        <w:tab/>
      </w:r>
      <w:r>
        <w:rPr>
          <w:highlight w:val="none"/>
        </w:rPr>
        <w:tab/>
      </w:r>
      <w:r>
        <w:rPr>
          <w:highlight w:val="none"/>
        </w:rPr>
        <w:tab/>
      </w:r>
      <w:r>
        <w:rPr>
          <w:highlight w:val="none"/>
        </w:rPr>
        <w:tab/>
      </w:r>
      <w:r>
        <w:rPr>
          <w:highlight w:val="none"/>
        </w:rPr>
        <w:t>日期：</w:t>
      </w:r>
    </w:p>
    <w:p>
      <w:pPr>
        <w:spacing w:line="360" w:lineRule="auto"/>
        <w:ind w:firstLine="422" w:firstLineChars="200"/>
        <w:rPr>
          <w:highlight w:val="none"/>
        </w:rPr>
      </w:pPr>
      <w:r>
        <w:rPr>
          <w:b/>
          <w:highlight w:val="none"/>
        </w:rPr>
        <w:t>注：</w:t>
      </w:r>
      <w:r>
        <w:rPr>
          <w:rFonts w:hint="eastAsia"/>
          <w:szCs w:val="16"/>
          <w:highlight w:val="none"/>
        </w:rPr>
        <w:t xml:space="preserve"> </w:t>
      </w:r>
      <w:r>
        <w:rPr>
          <w:szCs w:val="16"/>
          <w:highlight w:val="none"/>
        </w:rPr>
        <w:t>请投标人在填写技术规格偏离表时，对应招标文件技术要求逐项填写，且必须用具体数字或文字来表述，不能仅填写“偏离”或“不偏离”；无该表则被视为“无偏离”，但对招标文件的任何偏离将导致废标。如无偏离注明“不偏离”。</w:t>
      </w:r>
    </w:p>
    <w:p>
      <w:pPr>
        <w:pStyle w:val="76"/>
        <w:adjustRightInd/>
        <w:spacing w:line="360" w:lineRule="auto"/>
        <w:ind w:firstLine="738" w:firstLineChars="350"/>
        <w:textAlignment w:val="auto"/>
        <w:rPr>
          <w:rFonts w:ascii="Times New Roman" w:eastAsia="黑体"/>
          <w:b/>
          <w:kern w:val="2"/>
          <w:sz w:val="21"/>
          <w:szCs w:val="21"/>
          <w:highlight w:val="none"/>
        </w:rPr>
      </w:pPr>
      <w:r>
        <w:rPr>
          <w:rFonts w:ascii="Times New Roman" w:eastAsia="黑体"/>
          <w:b/>
          <w:kern w:val="2"/>
          <w:sz w:val="21"/>
          <w:szCs w:val="21"/>
          <w:highlight w:val="none"/>
        </w:rPr>
        <w:t>注：投标人应根据上述内容及</w:t>
      </w:r>
      <w:r>
        <w:rPr>
          <w:rFonts w:hint="eastAsia" w:ascii="Times New Roman" w:eastAsia="黑体"/>
          <w:b/>
          <w:kern w:val="2"/>
          <w:sz w:val="21"/>
          <w:szCs w:val="21"/>
          <w:highlight w:val="none"/>
        </w:rPr>
        <w:t>项目技术要求</w:t>
      </w:r>
      <w:r>
        <w:rPr>
          <w:rFonts w:ascii="Times New Roman" w:eastAsia="黑体"/>
          <w:b/>
          <w:kern w:val="2"/>
          <w:sz w:val="21"/>
          <w:szCs w:val="21"/>
          <w:highlight w:val="none"/>
        </w:rPr>
        <w:t>的要求自行编制。</w:t>
      </w: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ind w:firstLine="316" w:firstLineChars="150"/>
        <w:rPr>
          <w:rFonts w:asciiTheme="minorEastAsia" w:hAnsiTheme="minorEastAsia"/>
          <w:b/>
          <w:bCs/>
          <w:szCs w:val="21"/>
          <w:highlight w:val="none"/>
        </w:rPr>
      </w:pPr>
    </w:p>
    <w:p>
      <w:pPr>
        <w:spacing w:line="360" w:lineRule="auto"/>
        <w:rPr>
          <w:rFonts w:asciiTheme="minorEastAsia" w:hAnsiTheme="minorEastAsia"/>
          <w:b/>
          <w:bCs/>
          <w:szCs w:val="21"/>
          <w:highlight w:val="none"/>
        </w:rPr>
      </w:pPr>
    </w:p>
    <w:p>
      <w:pPr>
        <w:pStyle w:val="4"/>
        <w:jc w:val="center"/>
        <w:rPr>
          <w:highlight w:val="none"/>
        </w:rPr>
      </w:pPr>
      <w:bookmarkStart w:id="49" w:name="_Toc23691"/>
      <w:r>
        <w:rPr>
          <w:rFonts w:hint="eastAsia"/>
          <w:highlight w:val="none"/>
        </w:rPr>
        <w:t>六、商务报价</w:t>
      </w:r>
      <w:bookmarkEnd w:id="49"/>
    </w:p>
    <w:p>
      <w:pPr>
        <w:spacing w:line="360" w:lineRule="auto"/>
        <w:jc w:val="center"/>
        <w:rPr>
          <w:rFonts w:asciiTheme="minorEastAsia" w:hAnsiTheme="minorEastAsia"/>
          <w:b/>
          <w:bCs/>
          <w:szCs w:val="21"/>
          <w:highlight w:val="none"/>
        </w:rPr>
      </w:pPr>
      <w:r>
        <w:rPr>
          <w:rFonts w:hint="eastAsia" w:asciiTheme="minorEastAsia" w:hAnsiTheme="minorEastAsia"/>
          <w:b/>
          <w:bCs/>
          <w:szCs w:val="21"/>
          <w:highlight w:val="none"/>
        </w:rPr>
        <w:t xml:space="preserve"> </w:t>
      </w:r>
    </w:p>
    <w:p>
      <w:pPr>
        <w:pStyle w:val="7"/>
        <w:spacing w:line="360" w:lineRule="auto"/>
        <w:ind w:left="3369" w:right="3431"/>
        <w:jc w:val="center"/>
        <w:outlineLvl w:val="0"/>
        <w:rPr>
          <w:rFonts w:cs="黑体" w:asciiTheme="minorEastAsia" w:hAnsiTheme="minorEastAsia" w:eastAsiaTheme="minorEastAsia"/>
          <w:b/>
          <w:bCs/>
          <w:sz w:val="21"/>
          <w:szCs w:val="21"/>
          <w:highlight w:val="none"/>
        </w:rPr>
      </w:pPr>
      <w:bookmarkStart w:id="50" w:name="_Toc12667"/>
      <w:bookmarkStart w:id="51" w:name="_Toc23235"/>
      <w:bookmarkStart w:id="52" w:name="_Toc9315"/>
      <w:bookmarkStart w:id="53" w:name="_Toc16470"/>
      <w:bookmarkStart w:id="54" w:name="_Toc23298"/>
      <w:bookmarkStart w:id="55" w:name="_Toc119067391"/>
      <w:bookmarkStart w:id="56" w:name="_Toc11168"/>
      <w:bookmarkStart w:id="57" w:name="_Toc13532"/>
      <w:bookmarkStart w:id="58" w:name="_Toc8658"/>
      <w:r>
        <w:rPr>
          <w:rFonts w:cs="黑体" w:asciiTheme="minorEastAsia" w:hAnsiTheme="minorEastAsia" w:eastAsiaTheme="minorEastAsia"/>
          <w:b/>
          <w:bCs/>
          <w:sz w:val="21"/>
          <w:szCs w:val="21"/>
          <w:highlight w:val="none"/>
        </w:rPr>
        <w:t>投标</w:t>
      </w:r>
      <w:r>
        <w:rPr>
          <w:rFonts w:hint="eastAsia" w:cs="黑体" w:asciiTheme="minorEastAsia" w:hAnsiTheme="minorEastAsia" w:eastAsiaTheme="minorEastAsia"/>
          <w:b/>
          <w:bCs/>
          <w:sz w:val="21"/>
          <w:szCs w:val="21"/>
          <w:highlight w:val="none"/>
        </w:rPr>
        <w:t>承诺</w:t>
      </w:r>
      <w:r>
        <w:rPr>
          <w:rFonts w:cs="黑体" w:asciiTheme="minorEastAsia" w:hAnsiTheme="minorEastAsia" w:eastAsiaTheme="minorEastAsia"/>
          <w:b/>
          <w:bCs/>
          <w:sz w:val="21"/>
          <w:szCs w:val="21"/>
          <w:highlight w:val="none"/>
        </w:rPr>
        <w:t>函</w:t>
      </w:r>
      <w:bookmarkEnd w:id="50"/>
      <w:bookmarkEnd w:id="51"/>
      <w:bookmarkEnd w:id="52"/>
      <w:bookmarkEnd w:id="53"/>
      <w:bookmarkEnd w:id="54"/>
      <w:bookmarkEnd w:id="55"/>
      <w:bookmarkEnd w:id="56"/>
      <w:bookmarkEnd w:id="57"/>
      <w:bookmarkEnd w:id="58"/>
    </w:p>
    <w:p>
      <w:pPr>
        <w:spacing w:before="11" w:line="360" w:lineRule="auto"/>
        <w:rPr>
          <w:rFonts w:cs="黑体" w:asciiTheme="minorEastAsia" w:hAnsiTheme="minorEastAsia"/>
          <w:szCs w:val="21"/>
          <w:highlight w:val="none"/>
        </w:rPr>
      </w:pPr>
    </w:p>
    <w:p>
      <w:pPr>
        <w:pStyle w:val="7"/>
        <w:tabs>
          <w:tab w:val="left" w:pos="1553"/>
        </w:tabs>
        <w:spacing w:before="26" w:line="360" w:lineRule="auto"/>
        <w:ind w:right="113"/>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u w:val="single" w:color="000000"/>
        </w:rPr>
        <w:t xml:space="preserve"> </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（招标人名称）：</w:t>
      </w:r>
    </w:p>
    <w:p>
      <w:pPr>
        <w:numPr>
          <w:ilvl w:val="0"/>
          <w:numId w:val="37"/>
        </w:numPr>
        <w:tabs>
          <w:tab w:val="left" w:pos="3701"/>
          <w:tab w:val="left" w:pos="5527"/>
          <w:tab w:val="left" w:pos="6972"/>
        </w:tabs>
        <w:spacing w:before="132" w:line="360" w:lineRule="auto"/>
        <w:ind w:left="113" w:right="106" w:firstLine="480"/>
        <w:rPr>
          <w:rFonts w:cs="宋体" w:asciiTheme="minorEastAsia" w:hAnsiTheme="minorEastAsia"/>
          <w:szCs w:val="21"/>
          <w:highlight w:val="none"/>
        </w:rPr>
      </w:pPr>
      <w:r>
        <w:rPr>
          <w:rFonts w:cs="宋体" w:asciiTheme="minorEastAsia" w:hAnsiTheme="minorEastAsia"/>
          <w:szCs w:val="21"/>
          <w:highlight w:val="none"/>
        </w:rPr>
        <w:t>我方已仔细研究</w:t>
      </w:r>
      <w:r>
        <w:rPr>
          <w:rFonts w:cs="Times New Roman" w:asciiTheme="minorEastAsia" w:hAnsiTheme="minorEastAsia"/>
          <w:szCs w:val="21"/>
          <w:highlight w:val="none"/>
          <w:u w:val="single" w:color="000000"/>
        </w:rPr>
        <w:tab/>
      </w:r>
      <w:r>
        <w:rPr>
          <w:rFonts w:cs="宋体" w:asciiTheme="minorEastAsia" w:hAnsiTheme="minorEastAsia"/>
          <w:spacing w:val="-3"/>
          <w:szCs w:val="21"/>
          <w:highlight w:val="none"/>
        </w:rPr>
        <w:t xml:space="preserve">（招标项目名称）  </w:t>
      </w:r>
      <w:r>
        <w:rPr>
          <w:rFonts w:cs="宋体" w:asciiTheme="minorEastAsia" w:hAnsiTheme="minorEastAsia"/>
          <w:spacing w:val="-1"/>
          <w:szCs w:val="21"/>
          <w:highlight w:val="none"/>
        </w:rPr>
        <w:t xml:space="preserve"> </w:t>
      </w:r>
      <w:r>
        <w:rPr>
          <w:rFonts w:cs="宋体" w:asciiTheme="minorEastAsia" w:hAnsiTheme="minorEastAsia"/>
          <w:szCs w:val="21"/>
          <w:highlight w:val="none"/>
        </w:rPr>
        <w:t>标段招标文件的全部内容</w:t>
      </w:r>
      <w:r>
        <w:rPr>
          <w:rFonts w:cs="宋体" w:asciiTheme="minorEastAsia" w:hAnsiTheme="minorEastAsia"/>
          <w:w w:val="95"/>
          <w:szCs w:val="21"/>
          <w:highlight w:val="none"/>
        </w:rPr>
        <w:t>，</w:t>
      </w:r>
      <w:r>
        <w:rPr>
          <w:rFonts w:hint="eastAsia" w:cs="宋体" w:asciiTheme="minorEastAsia" w:hAnsiTheme="minorEastAsia"/>
          <w:w w:val="95"/>
          <w:szCs w:val="21"/>
          <w:highlight w:val="none"/>
        </w:rPr>
        <w:t>在响应招标文件的付款方式条件下，</w:t>
      </w:r>
      <w:r>
        <w:rPr>
          <w:rFonts w:cs="宋体" w:asciiTheme="minorEastAsia" w:hAnsiTheme="minorEastAsia"/>
          <w:b/>
          <w:bCs/>
          <w:w w:val="95"/>
          <w:szCs w:val="21"/>
          <w:highlight w:val="none"/>
        </w:rPr>
        <w:t>愿意以人民币（大写）</w:t>
      </w:r>
      <w:r>
        <w:rPr>
          <w:rFonts w:cs="Times New Roman" w:asciiTheme="minorEastAsia" w:hAnsiTheme="minorEastAsia"/>
          <w:b/>
          <w:bCs/>
          <w:w w:val="95"/>
          <w:szCs w:val="21"/>
          <w:highlight w:val="none"/>
          <w:u w:val="single" w:color="000000"/>
        </w:rPr>
        <w:tab/>
      </w:r>
      <w:r>
        <w:rPr>
          <w:rFonts w:cs="宋体" w:asciiTheme="minorEastAsia" w:hAnsiTheme="minorEastAsia"/>
          <w:b/>
          <w:bCs/>
          <w:w w:val="95"/>
          <w:szCs w:val="21"/>
          <w:highlight w:val="none"/>
        </w:rPr>
        <w:t>（¥</w:t>
      </w:r>
      <w:r>
        <w:rPr>
          <w:rFonts w:cs="Times New Roman" w:asciiTheme="minorEastAsia" w:hAnsiTheme="minorEastAsia"/>
          <w:b/>
          <w:bCs/>
          <w:w w:val="95"/>
          <w:szCs w:val="21"/>
          <w:highlight w:val="none"/>
          <w:u w:val="single" w:color="000000"/>
        </w:rPr>
        <w:tab/>
      </w:r>
      <w:r>
        <w:rPr>
          <w:rFonts w:cs="宋体" w:asciiTheme="minorEastAsia" w:hAnsiTheme="minorEastAsia"/>
          <w:b/>
          <w:bCs/>
          <w:szCs w:val="21"/>
          <w:highlight w:val="none"/>
        </w:rPr>
        <w:t>元）的投标总报价</w:t>
      </w:r>
      <w:r>
        <w:rPr>
          <w:rFonts w:cs="宋体" w:asciiTheme="minorEastAsia" w:hAnsiTheme="minorEastAsia"/>
          <w:szCs w:val="21"/>
          <w:highlight w:val="none"/>
        </w:rPr>
        <w:t>， 按合同约定实施和完成</w:t>
      </w:r>
      <w:r>
        <w:rPr>
          <w:rFonts w:hint="eastAsia" w:cs="宋体" w:asciiTheme="minorEastAsia" w:hAnsiTheme="minorEastAsia"/>
          <w:szCs w:val="21"/>
          <w:highlight w:val="none"/>
        </w:rPr>
        <w:t>本项目</w:t>
      </w:r>
      <w:r>
        <w:rPr>
          <w:rFonts w:cs="宋体" w:asciiTheme="minorEastAsia" w:hAnsiTheme="minorEastAsia"/>
          <w:szCs w:val="21"/>
          <w:highlight w:val="none"/>
        </w:rPr>
        <w:t>，</w:t>
      </w:r>
      <w:r>
        <w:rPr>
          <w:rFonts w:hint="eastAsia" w:cs="宋体" w:asciiTheme="minorEastAsia" w:hAnsiTheme="minorEastAsia"/>
          <w:szCs w:val="21"/>
          <w:highlight w:val="none"/>
        </w:rPr>
        <w:t>解决项目中</w:t>
      </w:r>
      <w:r>
        <w:rPr>
          <w:rFonts w:cs="宋体" w:asciiTheme="minorEastAsia" w:hAnsiTheme="minorEastAsia"/>
          <w:szCs w:val="21"/>
          <w:highlight w:val="none"/>
        </w:rPr>
        <w:t>的任何</w:t>
      </w:r>
      <w:r>
        <w:rPr>
          <w:rFonts w:hint="eastAsia" w:cs="宋体" w:asciiTheme="minorEastAsia" w:hAnsiTheme="minorEastAsia"/>
          <w:szCs w:val="21"/>
          <w:highlight w:val="none"/>
        </w:rPr>
        <w:t>质量问题</w:t>
      </w:r>
      <w:r>
        <w:rPr>
          <w:rFonts w:cs="宋体" w:asciiTheme="minorEastAsia" w:hAnsiTheme="minorEastAsia"/>
          <w:szCs w:val="21"/>
          <w:highlight w:val="none"/>
        </w:rPr>
        <w:t>。</w:t>
      </w:r>
    </w:p>
    <w:p>
      <w:pPr>
        <w:numPr>
          <w:ilvl w:val="0"/>
          <w:numId w:val="37"/>
        </w:numPr>
        <w:tabs>
          <w:tab w:val="left" w:pos="3701"/>
          <w:tab w:val="left" w:pos="5527"/>
          <w:tab w:val="left" w:pos="6972"/>
        </w:tabs>
        <w:spacing w:before="132" w:line="360" w:lineRule="auto"/>
        <w:ind w:left="113" w:right="106" w:firstLine="480"/>
        <w:jc w:val="left"/>
        <w:rPr>
          <w:rFonts w:cs="宋体" w:asciiTheme="minorEastAsia" w:hAnsiTheme="minorEastAsia"/>
          <w:szCs w:val="21"/>
          <w:highlight w:val="none"/>
        </w:rPr>
      </w:pPr>
      <w:r>
        <w:rPr>
          <w:rFonts w:hint="eastAsia" w:cs="宋体" w:asciiTheme="minorEastAsia" w:hAnsiTheme="minorEastAsia"/>
          <w:szCs w:val="21"/>
          <w:highlight w:val="none"/>
        </w:rPr>
        <w:t>按照我方约定的付款条件：</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下，</w:t>
      </w:r>
      <w:r>
        <w:rPr>
          <w:rFonts w:cs="宋体" w:asciiTheme="minorEastAsia" w:hAnsiTheme="minorEastAsia"/>
          <w:b/>
          <w:bCs/>
          <w:w w:val="95"/>
          <w:szCs w:val="21"/>
          <w:highlight w:val="none"/>
        </w:rPr>
        <w:t>愿意以人民币（大写）</w:t>
      </w:r>
      <w:r>
        <w:rPr>
          <w:rFonts w:cs="Times New Roman" w:asciiTheme="minorEastAsia" w:hAnsiTheme="minorEastAsia"/>
          <w:b/>
          <w:bCs/>
          <w:w w:val="95"/>
          <w:szCs w:val="21"/>
          <w:highlight w:val="none"/>
          <w:u w:val="single" w:color="000000"/>
        </w:rPr>
        <w:tab/>
      </w:r>
      <w:r>
        <w:rPr>
          <w:rFonts w:cs="宋体" w:asciiTheme="minorEastAsia" w:hAnsiTheme="minorEastAsia"/>
          <w:b/>
          <w:bCs/>
          <w:w w:val="95"/>
          <w:szCs w:val="21"/>
          <w:highlight w:val="none"/>
        </w:rPr>
        <w:t>（¥</w:t>
      </w:r>
      <w:r>
        <w:rPr>
          <w:rFonts w:cs="Times New Roman" w:asciiTheme="minorEastAsia" w:hAnsiTheme="minorEastAsia"/>
          <w:b/>
          <w:bCs/>
          <w:w w:val="95"/>
          <w:szCs w:val="21"/>
          <w:highlight w:val="none"/>
          <w:u w:val="single" w:color="000000"/>
        </w:rPr>
        <w:tab/>
      </w:r>
      <w:r>
        <w:rPr>
          <w:rFonts w:cs="宋体" w:asciiTheme="minorEastAsia" w:hAnsiTheme="minorEastAsia"/>
          <w:b/>
          <w:bCs/>
          <w:szCs w:val="21"/>
          <w:highlight w:val="none"/>
        </w:rPr>
        <w:t>元）的投标总报价</w:t>
      </w:r>
      <w:r>
        <w:rPr>
          <w:rFonts w:cs="宋体" w:asciiTheme="minorEastAsia" w:hAnsiTheme="minorEastAsia"/>
          <w:szCs w:val="21"/>
          <w:highlight w:val="none"/>
        </w:rPr>
        <w:t>， 按合同约定实施和完成</w:t>
      </w:r>
      <w:r>
        <w:rPr>
          <w:rFonts w:hint="eastAsia" w:cs="宋体" w:asciiTheme="minorEastAsia" w:hAnsiTheme="minorEastAsia"/>
          <w:szCs w:val="21"/>
          <w:highlight w:val="none"/>
        </w:rPr>
        <w:t>本项目</w:t>
      </w:r>
      <w:r>
        <w:rPr>
          <w:rFonts w:cs="宋体" w:asciiTheme="minorEastAsia" w:hAnsiTheme="minorEastAsia"/>
          <w:szCs w:val="21"/>
          <w:highlight w:val="none"/>
        </w:rPr>
        <w:t>，</w:t>
      </w:r>
      <w:r>
        <w:rPr>
          <w:rFonts w:hint="eastAsia" w:cs="宋体" w:asciiTheme="minorEastAsia" w:hAnsiTheme="minorEastAsia"/>
          <w:szCs w:val="21"/>
          <w:highlight w:val="none"/>
        </w:rPr>
        <w:t>解决项目中</w:t>
      </w:r>
      <w:r>
        <w:rPr>
          <w:rFonts w:cs="宋体" w:asciiTheme="minorEastAsia" w:hAnsiTheme="minorEastAsia"/>
          <w:szCs w:val="21"/>
          <w:highlight w:val="none"/>
        </w:rPr>
        <w:t>的任何</w:t>
      </w:r>
      <w:r>
        <w:rPr>
          <w:rFonts w:hint="eastAsia" w:cs="宋体" w:asciiTheme="minorEastAsia" w:hAnsiTheme="minorEastAsia"/>
          <w:szCs w:val="21"/>
          <w:highlight w:val="none"/>
        </w:rPr>
        <w:t>质量问题</w:t>
      </w:r>
      <w:r>
        <w:rPr>
          <w:rFonts w:cs="宋体" w:asciiTheme="minorEastAsia" w:hAnsiTheme="minorEastAsia"/>
          <w:szCs w:val="21"/>
          <w:highlight w:val="none"/>
        </w:rPr>
        <w:t>。</w:t>
      </w:r>
    </w:p>
    <w:p>
      <w:pPr>
        <w:pStyle w:val="7"/>
        <w:spacing w:before="65" w:line="360" w:lineRule="auto"/>
        <w:ind w:right="172"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w:t>
      </w:r>
      <w:r>
        <w:rPr>
          <w:rFonts w:asciiTheme="minorEastAsia" w:hAnsiTheme="minorEastAsia" w:eastAsiaTheme="minorEastAsia"/>
          <w:spacing w:val="14"/>
          <w:sz w:val="21"/>
          <w:szCs w:val="21"/>
          <w:highlight w:val="none"/>
        </w:rPr>
        <w:t xml:space="preserve"> </w:t>
      </w:r>
      <w:r>
        <w:rPr>
          <w:rFonts w:asciiTheme="minorEastAsia" w:hAnsiTheme="minorEastAsia" w:eastAsiaTheme="minorEastAsia"/>
          <w:sz w:val="21"/>
          <w:szCs w:val="21"/>
          <w:highlight w:val="none"/>
        </w:rPr>
        <w:t>我方已按招标文件要求详细审核并确认全部招标文件及有关附件，充分理解投标价格不得低于企业个别成本有关规定。我方经成本核算，所填报的投标报价不低于企业个别成本。</w:t>
      </w:r>
    </w:p>
    <w:p>
      <w:pPr>
        <w:pStyle w:val="7"/>
        <w:tabs>
          <w:tab w:val="left" w:pos="4013"/>
        </w:tabs>
        <w:spacing w:before="65" w:line="360" w:lineRule="auto"/>
        <w:ind w:left="533" w:right="113"/>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rPr>
        <w:t>.</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（其他补充说明）。</w:t>
      </w:r>
    </w:p>
    <w:p>
      <w:pPr>
        <w:spacing w:line="360" w:lineRule="auto"/>
        <w:rPr>
          <w:rFonts w:cs="宋体" w:asciiTheme="minorEastAsia" w:hAnsiTheme="minorEastAsia"/>
          <w:szCs w:val="21"/>
          <w:highlight w:val="none"/>
        </w:rPr>
      </w:pPr>
    </w:p>
    <w:p>
      <w:pPr>
        <w:spacing w:before="8" w:line="360" w:lineRule="auto"/>
        <w:rPr>
          <w:rFonts w:cs="宋体" w:asciiTheme="minorEastAsia" w:hAnsiTheme="minorEastAsia"/>
          <w:szCs w:val="21"/>
          <w:highlight w:val="none"/>
        </w:rPr>
      </w:pPr>
    </w:p>
    <w:p>
      <w:pPr>
        <w:pStyle w:val="7"/>
        <w:tabs>
          <w:tab w:val="left" w:pos="2273"/>
          <w:tab w:val="left" w:pos="3113"/>
          <w:tab w:val="left" w:pos="3593"/>
          <w:tab w:val="left" w:pos="4913"/>
          <w:tab w:val="left" w:pos="5212"/>
          <w:tab w:val="left" w:pos="6770"/>
          <w:tab w:val="left" w:pos="8452"/>
        </w:tabs>
        <w:spacing w:line="360" w:lineRule="auto"/>
        <w:ind w:left="593" w:right="371"/>
        <w:rPr>
          <w:rFonts w:asciiTheme="minorEastAsia" w:hAnsiTheme="minorEastAsia" w:eastAsiaTheme="minorEastAsia"/>
          <w:spacing w:val="-1"/>
          <w:sz w:val="21"/>
          <w:szCs w:val="21"/>
          <w:highlight w:val="none"/>
          <w:u w:val="single" w:color="000000"/>
        </w:rPr>
      </w:pPr>
      <w:r>
        <w:rPr>
          <w:rFonts w:asciiTheme="minorEastAsia" w:hAnsiTheme="minorEastAsia" w:eastAsiaTheme="minorEastAsia"/>
          <w:sz w:val="21"/>
          <w:szCs w:val="21"/>
          <w:highlight w:val="none"/>
        </w:rPr>
        <w:t>投 标</w:t>
      </w:r>
      <w:r>
        <w:rPr>
          <w:rFonts w:asciiTheme="minorEastAsia" w:hAnsiTheme="minorEastAsia" w:eastAsiaTheme="minorEastAsia"/>
          <w:spacing w:val="-1"/>
          <w:sz w:val="21"/>
          <w:szCs w:val="21"/>
          <w:highlight w:val="none"/>
        </w:rPr>
        <w:t xml:space="preserve"> </w:t>
      </w:r>
      <w:r>
        <w:rPr>
          <w:rFonts w:asciiTheme="minorEastAsia" w:hAnsiTheme="minorEastAsia" w:eastAsiaTheme="minorEastAsia"/>
          <w:sz w:val="21"/>
          <w:szCs w:val="21"/>
          <w:highlight w:val="none"/>
        </w:rPr>
        <w:t>人：</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 xml:space="preserve">（盖单位章） </w:t>
      </w:r>
      <w:r>
        <w:rPr>
          <w:rFonts w:asciiTheme="minorEastAsia" w:hAnsiTheme="minorEastAsia" w:eastAsiaTheme="minorEastAsia"/>
          <w:spacing w:val="-1"/>
          <w:sz w:val="21"/>
          <w:szCs w:val="21"/>
          <w:highlight w:val="none"/>
        </w:rPr>
        <w:t>法定代表人：</w:t>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z w:val="21"/>
          <w:szCs w:val="21"/>
          <w:highlight w:val="none"/>
        </w:rPr>
        <w:t>（签字或盖章） 单位地址：</w:t>
      </w:r>
      <w:r>
        <w:rPr>
          <w:rFonts w:asciiTheme="minorEastAsia" w:hAnsiTheme="minorEastAsia" w:eastAsiaTheme="minorEastAsia"/>
          <w:sz w:val="21"/>
          <w:szCs w:val="21"/>
          <w:highlight w:val="none"/>
          <w:u w:val="single" w:color="000000"/>
        </w:rPr>
        <w:t xml:space="preserve"> </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 xml:space="preserve"> </w:t>
      </w:r>
      <w:r>
        <w:rPr>
          <w:rFonts w:asciiTheme="minorEastAsia" w:hAnsiTheme="minorEastAsia" w:eastAsiaTheme="minorEastAsia"/>
          <w:spacing w:val="-1"/>
          <w:sz w:val="21"/>
          <w:szCs w:val="21"/>
          <w:highlight w:val="none"/>
        </w:rPr>
        <w:t>邮政编码：</w:t>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p>
    <w:p>
      <w:pPr>
        <w:pStyle w:val="7"/>
        <w:tabs>
          <w:tab w:val="left" w:pos="2273"/>
          <w:tab w:val="left" w:pos="3113"/>
          <w:tab w:val="left" w:pos="3593"/>
          <w:tab w:val="left" w:pos="4913"/>
          <w:tab w:val="left" w:pos="5212"/>
          <w:tab w:val="left" w:pos="6770"/>
          <w:tab w:val="left" w:pos="8452"/>
        </w:tabs>
        <w:spacing w:line="360" w:lineRule="auto"/>
        <w:ind w:left="593" w:right="371"/>
        <w:rPr>
          <w:rFonts w:asciiTheme="minorEastAsia" w:hAnsiTheme="minorEastAsia" w:eastAsiaTheme="minorEastAsia"/>
          <w:spacing w:val="-1"/>
          <w:sz w:val="21"/>
          <w:szCs w:val="21"/>
          <w:highlight w:val="none"/>
          <w:u w:val="single" w:color="000000"/>
        </w:rPr>
      </w:pPr>
      <w:r>
        <w:rPr>
          <w:rFonts w:asciiTheme="minorEastAsia" w:hAnsiTheme="minorEastAsia" w:eastAsiaTheme="minorEastAsia"/>
          <w:spacing w:val="-1"/>
          <w:sz w:val="21"/>
          <w:szCs w:val="21"/>
          <w:highlight w:val="none"/>
        </w:rPr>
        <w:t>电话：</w:t>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p>
    <w:p>
      <w:pPr>
        <w:pStyle w:val="7"/>
        <w:tabs>
          <w:tab w:val="left" w:pos="2273"/>
          <w:tab w:val="left" w:pos="3113"/>
          <w:tab w:val="left" w:pos="3593"/>
          <w:tab w:val="left" w:pos="4913"/>
          <w:tab w:val="left" w:pos="5212"/>
          <w:tab w:val="left" w:pos="6770"/>
          <w:tab w:val="left" w:pos="8452"/>
        </w:tabs>
        <w:spacing w:line="360" w:lineRule="auto"/>
        <w:ind w:left="593" w:right="371"/>
        <w:rPr>
          <w:rFonts w:asciiTheme="minorEastAsia" w:hAnsiTheme="minorEastAsia" w:eastAsiaTheme="minorEastAsia"/>
          <w:sz w:val="21"/>
          <w:szCs w:val="21"/>
          <w:highlight w:val="none"/>
        </w:rPr>
      </w:pPr>
      <w:r>
        <w:rPr>
          <w:rFonts w:asciiTheme="minorEastAsia" w:hAnsiTheme="minorEastAsia" w:eastAsiaTheme="minorEastAsia"/>
          <w:spacing w:val="-1"/>
          <w:sz w:val="21"/>
          <w:szCs w:val="21"/>
          <w:highlight w:val="none"/>
        </w:rPr>
        <w:t>传真：</w:t>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pacing w:val="-1"/>
          <w:sz w:val="21"/>
          <w:szCs w:val="21"/>
          <w:highlight w:val="none"/>
          <w:u w:val="single" w:color="000000"/>
        </w:rPr>
        <w:tab/>
      </w:r>
      <w:r>
        <w:rPr>
          <w:rFonts w:asciiTheme="minorEastAsia" w:hAnsiTheme="minorEastAsia" w:eastAsiaTheme="minorEastAsia"/>
          <w:sz w:val="21"/>
          <w:szCs w:val="21"/>
          <w:highlight w:val="none"/>
        </w:rPr>
        <w:t xml:space="preserve"> </w:t>
      </w:r>
    </w:p>
    <w:p>
      <w:pPr>
        <w:pStyle w:val="7"/>
        <w:tabs>
          <w:tab w:val="left" w:pos="2273"/>
          <w:tab w:val="left" w:pos="3113"/>
          <w:tab w:val="left" w:pos="3593"/>
          <w:tab w:val="left" w:pos="4913"/>
          <w:tab w:val="left" w:pos="5212"/>
          <w:tab w:val="left" w:pos="6770"/>
          <w:tab w:val="left" w:pos="8452"/>
        </w:tabs>
        <w:spacing w:line="360" w:lineRule="auto"/>
        <w:ind w:left="593" w:right="371"/>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日期：</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_年</w:t>
      </w:r>
      <w:r>
        <w:rPr>
          <w:rFonts w:asciiTheme="minorEastAsia" w:hAnsiTheme="minorEastAsia" w:eastAsiaTheme="minorEastAsia"/>
          <w:sz w:val="21"/>
          <w:szCs w:val="21"/>
          <w:highlight w:val="none"/>
          <w:u w:val="single" w:color="000000"/>
        </w:rPr>
        <w:t>_</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u w:val="single" w:color="000000"/>
        </w:rPr>
        <w:t>_</w:t>
      </w:r>
      <w:r>
        <w:rPr>
          <w:rFonts w:asciiTheme="minorEastAsia" w:hAnsiTheme="minorEastAsia" w:eastAsiaTheme="minorEastAsia"/>
          <w:sz w:val="21"/>
          <w:szCs w:val="21"/>
          <w:highlight w:val="none"/>
        </w:rPr>
        <w:t>月</w:t>
      </w:r>
      <w:r>
        <w:rPr>
          <w:rFonts w:asciiTheme="minorEastAsia" w:hAnsiTheme="minorEastAsia" w:eastAsiaTheme="minorEastAsia"/>
          <w:sz w:val="21"/>
          <w:szCs w:val="21"/>
          <w:highlight w:val="none"/>
          <w:u w:val="single" w:color="000000"/>
        </w:rPr>
        <w:t>_</w:t>
      </w:r>
      <w:r>
        <w:rPr>
          <w:rFonts w:asciiTheme="minorEastAsia" w:hAnsiTheme="minorEastAsia" w:eastAsiaTheme="minorEastAsia"/>
          <w:sz w:val="21"/>
          <w:szCs w:val="21"/>
          <w:highlight w:val="none"/>
          <w:u w:val="single" w:color="000000"/>
        </w:rPr>
        <w:tab/>
      </w:r>
      <w:r>
        <w:rPr>
          <w:rFonts w:asciiTheme="minorEastAsia" w:hAnsiTheme="minorEastAsia" w:eastAsiaTheme="minorEastAsia"/>
          <w:sz w:val="21"/>
          <w:szCs w:val="21"/>
          <w:highlight w:val="none"/>
        </w:rPr>
        <w:t>日</w:t>
      </w:r>
    </w:p>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 xml:space="preserve">附件一  </w:t>
      </w:r>
      <w:r>
        <w:rPr>
          <w:rFonts w:hint="eastAsia" w:asciiTheme="minorEastAsia" w:hAnsiTheme="minorEastAsia"/>
          <w:b/>
          <w:bCs/>
          <w:szCs w:val="21"/>
          <w:highlight w:val="none"/>
        </w:rPr>
        <w:t xml:space="preserve"> 赠送专用工具、备品备件清单</w:t>
      </w:r>
    </w:p>
    <w:p>
      <w:pPr>
        <w:spacing w:line="360" w:lineRule="auto"/>
        <w:ind w:left="1054" w:hanging="1054" w:hangingChars="500"/>
        <w:jc w:val="center"/>
        <w:rPr>
          <w:rFonts w:asciiTheme="minorEastAsia" w:hAnsiTheme="minorEastAsia"/>
          <w:szCs w:val="21"/>
          <w:highlight w:val="none"/>
        </w:rPr>
      </w:pPr>
      <w:r>
        <w:rPr>
          <w:rFonts w:hint="eastAsia" w:asciiTheme="minorEastAsia" w:hAnsiTheme="minorEastAsia"/>
          <w:b/>
          <w:bCs/>
          <w:szCs w:val="21"/>
          <w:highlight w:val="none"/>
        </w:rPr>
        <w:t>赠送专用工具、备品备件清单</w:t>
      </w:r>
    </w:p>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投标人名称：                                        项目编号：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036"/>
        <w:gridCol w:w="645"/>
        <w:gridCol w:w="817"/>
        <w:gridCol w:w="1020"/>
        <w:gridCol w:w="1161"/>
        <w:gridCol w:w="850"/>
        <w:gridCol w:w="709"/>
        <w:gridCol w:w="709"/>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序号</w:t>
            </w:r>
          </w:p>
        </w:tc>
        <w:tc>
          <w:tcPr>
            <w:tcW w:w="1036"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名称</w:t>
            </w:r>
          </w:p>
        </w:tc>
        <w:tc>
          <w:tcPr>
            <w:tcW w:w="645"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型号</w:t>
            </w:r>
          </w:p>
        </w:tc>
        <w:tc>
          <w:tcPr>
            <w:tcW w:w="817"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数量</w:t>
            </w:r>
          </w:p>
        </w:tc>
        <w:tc>
          <w:tcPr>
            <w:tcW w:w="1020"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单位</w:t>
            </w:r>
          </w:p>
        </w:tc>
        <w:tc>
          <w:tcPr>
            <w:tcW w:w="1161"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生产厂家</w:t>
            </w:r>
          </w:p>
        </w:tc>
        <w:tc>
          <w:tcPr>
            <w:tcW w:w="850"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用途</w:t>
            </w:r>
          </w:p>
        </w:tc>
        <w:tc>
          <w:tcPr>
            <w:tcW w:w="709"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单价</w:t>
            </w:r>
          </w:p>
        </w:tc>
        <w:tc>
          <w:tcPr>
            <w:tcW w:w="709"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总价</w:t>
            </w:r>
          </w:p>
        </w:tc>
        <w:tc>
          <w:tcPr>
            <w:tcW w:w="685"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1</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2</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3</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4</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5</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w:t>
            </w: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spacing w:line="360" w:lineRule="auto"/>
              <w:ind w:left="1050" w:hanging="1050" w:hangingChars="500"/>
              <w:rPr>
                <w:rFonts w:asciiTheme="minorEastAsia" w:hAnsiTheme="minorEastAsia"/>
                <w:szCs w:val="21"/>
                <w:highlight w:val="none"/>
              </w:rPr>
            </w:pPr>
          </w:p>
        </w:tc>
        <w:tc>
          <w:tcPr>
            <w:tcW w:w="1036" w:type="dxa"/>
            <w:vAlign w:val="center"/>
          </w:tcPr>
          <w:p>
            <w:pPr>
              <w:spacing w:line="360" w:lineRule="auto"/>
              <w:ind w:left="1050" w:hanging="1050" w:hangingChars="500"/>
              <w:rPr>
                <w:rFonts w:asciiTheme="minorEastAsia" w:hAnsiTheme="minorEastAsia"/>
                <w:szCs w:val="21"/>
                <w:highlight w:val="none"/>
              </w:rPr>
            </w:pPr>
          </w:p>
        </w:tc>
        <w:tc>
          <w:tcPr>
            <w:tcW w:w="645" w:type="dxa"/>
            <w:vAlign w:val="center"/>
          </w:tcPr>
          <w:p>
            <w:pPr>
              <w:spacing w:line="360" w:lineRule="auto"/>
              <w:ind w:left="1050" w:hanging="1050" w:hangingChars="500"/>
              <w:rPr>
                <w:rFonts w:asciiTheme="minorEastAsia" w:hAnsiTheme="minorEastAsia"/>
                <w:szCs w:val="21"/>
                <w:highlight w:val="none"/>
              </w:rPr>
            </w:pPr>
          </w:p>
        </w:tc>
        <w:tc>
          <w:tcPr>
            <w:tcW w:w="817" w:type="dxa"/>
            <w:vAlign w:val="center"/>
          </w:tcPr>
          <w:p>
            <w:pPr>
              <w:spacing w:line="360" w:lineRule="auto"/>
              <w:ind w:left="1050" w:hanging="1050" w:hangingChars="500"/>
              <w:rPr>
                <w:rFonts w:asciiTheme="minorEastAsia" w:hAnsiTheme="minorEastAsia"/>
                <w:szCs w:val="21"/>
                <w:highlight w:val="none"/>
              </w:rPr>
            </w:pPr>
          </w:p>
        </w:tc>
        <w:tc>
          <w:tcPr>
            <w:tcW w:w="1020" w:type="dxa"/>
            <w:vAlign w:val="center"/>
          </w:tcPr>
          <w:p>
            <w:pPr>
              <w:spacing w:line="360" w:lineRule="auto"/>
              <w:ind w:left="1050" w:hanging="1050" w:hangingChars="500"/>
              <w:rPr>
                <w:rFonts w:asciiTheme="minorEastAsia" w:hAnsiTheme="minorEastAsia"/>
                <w:szCs w:val="21"/>
                <w:highlight w:val="none"/>
              </w:rPr>
            </w:pPr>
          </w:p>
        </w:tc>
        <w:tc>
          <w:tcPr>
            <w:tcW w:w="1161" w:type="dxa"/>
            <w:vAlign w:val="center"/>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Pr>
          <w:p>
            <w:pPr>
              <w:spacing w:line="360" w:lineRule="auto"/>
              <w:ind w:left="1050" w:hanging="1050" w:hangingChars="500"/>
              <w:rPr>
                <w:rFonts w:asciiTheme="minorEastAsia" w:hAnsiTheme="minorEastAsia"/>
                <w:szCs w:val="21"/>
                <w:highlight w:val="none"/>
              </w:rPr>
            </w:pPr>
          </w:p>
        </w:tc>
        <w:tc>
          <w:tcPr>
            <w:tcW w:w="1036" w:type="dxa"/>
          </w:tcPr>
          <w:p>
            <w:pPr>
              <w:spacing w:line="360" w:lineRule="auto"/>
              <w:ind w:left="1050" w:hanging="1050" w:hangingChars="500"/>
              <w:rPr>
                <w:rFonts w:asciiTheme="minorEastAsia" w:hAnsiTheme="minorEastAsia"/>
                <w:szCs w:val="21"/>
                <w:highlight w:val="none"/>
              </w:rPr>
            </w:pPr>
          </w:p>
        </w:tc>
        <w:tc>
          <w:tcPr>
            <w:tcW w:w="645" w:type="dxa"/>
          </w:tcPr>
          <w:p>
            <w:pPr>
              <w:spacing w:line="360" w:lineRule="auto"/>
              <w:ind w:left="1050" w:hanging="1050" w:hangingChars="500"/>
              <w:rPr>
                <w:rFonts w:asciiTheme="minorEastAsia" w:hAnsiTheme="minorEastAsia"/>
                <w:szCs w:val="21"/>
                <w:highlight w:val="none"/>
              </w:rPr>
            </w:pPr>
          </w:p>
        </w:tc>
        <w:tc>
          <w:tcPr>
            <w:tcW w:w="817" w:type="dxa"/>
          </w:tcPr>
          <w:p>
            <w:pPr>
              <w:spacing w:line="360" w:lineRule="auto"/>
              <w:ind w:left="1050" w:hanging="1050" w:hangingChars="500"/>
              <w:rPr>
                <w:rFonts w:asciiTheme="minorEastAsia" w:hAnsiTheme="minorEastAsia"/>
                <w:szCs w:val="21"/>
                <w:highlight w:val="none"/>
              </w:rPr>
            </w:pPr>
          </w:p>
        </w:tc>
        <w:tc>
          <w:tcPr>
            <w:tcW w:w="1020" w:type="dxa"/>
          </w:tcPr>
          <w:p>
            <w:pPr>
              <w:spacing w:line="360" w:lineRule="auto"/>
              <w:ind w:left="1050" w:hanging="1050" w:hangingChars="500"/>
              <w:rPr>
                <w:rFonts w:asciiTheme="minorEastAsia" w:hAnsiTheme="minorEastAsia"/>
                <w:szCs w:val="21"/>
                <w:highlight w:val="none"/>
              </w:rPr>
            </w:pPr>
          </w:p>
        </w:tc>
        <w:tc>
          <w:tcPr>
            <w:tcW w:w="1161" w:type="dxa"/>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Pr>
          <w:p>
            <w:pPr>
              <w:spacing w:line="360" w:lineRule="auto"/>
              <w:ind w:left="1050" w:hanging="1050" w:hangingChars="500"/>
              <w:rPr>
                <w:rFonts w:asciiTheme="minorEastAsia" w:hAnsiTheme="minorEastAsia"/>
                <w:szCs w:val="21"/>
                <w:highlight w:val="none"/>
              </w:rPr>
            </w:pPr>
          </w:p>
        </w:tc>
        <w:tc>
          <w:tcPr>
            <w:tcW w:w="1036" w:type="dxa"/>
          </w:tcPr>
          <w:p>
            <w:pPr>
              <w:spacing w:line="360" w:lineRule="auto"/>
              <w:ind w:left="1050" w:hanging="1050" w:hangingChars="500"/>
              <w:rPr>
                <w:rFonts w:asciiTheme="minorEastAsia" w:hAnsiTheme="minorEastAsia"/>
                <w:szCs w:val="21"/>
                <w:highlight w:val="none"/>
              </w:rPr>
            </w:pPr>
          </w:p>
        </w:tc>
        <w:tc>
          <w:tcPr>
            <w:tcW w:w="645" w:type="dxa"/>
          </w:tcPr>
          <w:p>
            <w:pPr>
              <w:spacing w:line="360" w:lineRule="auto"/>
              <w:ind w:left="1050" w:hanging="1050" w:hangingChars="500"/>
              <w:rPr>
                <w:rFonts w:asciiTheme="minorEastAsia" w:hAnsiTheme="minorEastAsia"/>
                <w:szCs w:val="21"/>
                <w:highlight w:val="none"/>
              </w:rPr>
            </w:pPr>
          </w:p>
        </w:tc>
        <w:tc>
          <w:tcPr>
            <w:tcW w:w="817" w:type="dxa"/>
          </w:tcPr>
          <w:p>
            <w:pPr>
              <w:spacing w:line="360" w:lineRule="auto"/>
              <w:ind w:left="1050" w:hanging="1050" w:hangingChars="500"/>
              <w:rPr>
                <w:rFonts w:asciiTheme="minorEastAsia" w:hAnsiTheme="minorEastAsia"/>
                <w:szCs w:val="21"/>
                <w:highlight w:val="none"/>
              </w:rPr>
            </w:pPr>
          </w:p>
        </w:tc>
        <w:tc>
          <w:tcPr>
            <w:tcW w:w="1020" w:type="dxa"/>
          </w:tcPr>
          <w:p>
            <w:pPr>
              <w:spacing w:line="360" w:lineRule="auto"/>
              <w:ind w:left="1050" w:hanging="1050" w:hangingChars="500"/>
              <w:rPr>
                <w:rFonts w:asciiTheme="minorEastAsia" w:hAnsiTheme="minorEastAsia"/>
                <w:szCs w:val="21"/>
                <w:highlight w:val="none"/>
              </w:rPr>
            </w:pPr>
          </w:p>
        </w:tc>
        <w:tc>
          <w:tcPr>
            <w:tcW w:w="1161" w:type="dxa"/>
          </w:tcPr>
          <w:p>
            <w:pPr>
              <w:spacing w:line="360" w:lineRule="auto"/>
              <w:ind w:left="1050" w:hanging="1050" w:hangingChars="500"/>
              <w:rPr>
                <w:rFonts w:asciiTheme="minorEastAsia" w:hAnsiTheme="minorEastAsia"/>
                <w:szCs w:val="21"/>
                <w:highlight w:val="none"/>
              </w:rPr>
            </w:pPr>
          </w:p>
        </w:tc>
        <w:tc>
          <w:tcPr>
            <w:tcW w:w="850"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709" w:type="dxa"/>
          </w:tcPr>
          <w:p>
            <w:pPr>
              <w:spacing w:line="360" w:lineRule="auto"/>
              <w:ind w:left="1050" w:hanging="1050" w:hangingChars="500"/>
              <w:rPr>
                <w:rFonts w:asciiTheme="minorEastAsia" w:hAnsiTheme="minorEastAsia"/>
                <w:szCs w:val="21"/>
                <w:highlight w:val="none"/>
              </w:rPr>
            </w:pPr>
          </w:p>
        </w:tc>
        <w:tc>
          <w:tcPr>
            <w:tcW w:w="685" w:type="dxa"/>
          </w:tcPr>
          <w:p>
            <w:pPr>
              <w:spacing w:line="360" w:lineRule="auto"/>
              <w:ind w:left="1050" w:hanging="1050" w:hangingChars="500"/>
              <w:rPr>
                <w:rFonts w:asciiTheme="minorEastAsia" w:hAnsiTheme="minorEastAsia"/>
                <w:szCs w:val="21"/>
                <w:highlight w:val="none"/>
              </w:rPr>
            </w:pPr>
          </w:p>
        </w:tc>
      </w:tr>
    </w:tbl>
    <w:p>
      <w:pPr>
        <w:spacing w:line="360" w:lineRule="auto"/>
        <w:ind w:left="1050" w:hanging="1050" w:hangingChars="500"/>
        <w:rPr>
          <w:rFonts w:asciiTheme="minorEastAsia" w:hAnsiTheme="minorEastAsia"/>
          <w:szCs w:val="21"/>
          <w:highlight w:val="none"/>
        </w:rPr>
      </w:pPr>
    </w:p>
    <w:p>
      <w:pPr>
        <w:spacing w:line="360" w:lineRule="auto"/>
        <w:ind w:left="1050" w:hanging="1050" w:hangingChars="500"/>
        <w:rPr>
          <w:rFonts w:asciiTheme="minorEastAsia" w:hAnsiTheme="minorEastAsia"/>
          <w:szCs w:val="21"/>
          <w:highlight w:val="none"/>
        </w:rPr>
      </w:pPr>
      <w:r>
        <w:rPr>
          <w:rFonts w:hint="eastAsia" w:asciiTheme="minorEastAsia" w:hAnsiTheme="minorEastAsia"/>
          <w:szCs w:val="21"/>
          <w:highlight w:val="none"/>
        </w:rPr>
        <w:t>投标人（盖章）：                           授权代表（签字）：</w:t>
      </w:r>
    </w:p>
    <w:p>
      <w:pPr>
        <w:spacing w:line="360" w:lineRule="auto"/>
        <w:ind w:firstLine="4620" w:firstLineChars="2200"/>
        <w:rPr>
          <w:rFonts w:asciiTheme="minorEastAsia" w:hAnsiTheme="minorEastAsia"/>
          <w:szCs w:val="21"/>
          <w:highlight w:val="none"/>
        </w:rPr>
      </w:pPr>
      <w:r>
        <w:rPr>
          <w:rFonts w:hint="eastAsia" w:asciiTheme="minorEastAsia" w:hAnsiTheme="minorEastAsia"/>
          <w:szCs w:val="21"/>
          <w:highlight w:val="none"/>
        </w:rPr>
        <w:t>日期：    年    月    日</w:t>
      </w:r>
    </w:p>
    <w:p>
      <w:pPr>
        <w:spacing w:line="360" w:lineRule="auto"/>
        <w:ind w:left="1050" w:hanging="1050" w:hangingChars="500"/>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spacing w:line="360" w:lineRule="auto"/>
        <w:rPr>
          <w:rFonts w:asciiTheme="minorEastAsia" w:hAnsiTheme="minorEastAsia"/>
          <w:szCs w:val="21"/>
          <w:highlight w:val="none"/>
        </w:rPr>
      </w:pPr>
    </w:p>
    <w:p>
      <w:pPr>
        <w:rPr>
          <w:rFonts w:asciiTheme="minorEastAsia" w:hAnsiTheme="minorEastAsia" w:cstheme="minorEastAsia"/>
          <w:b/>
          <w:bCs/>
          <w:szCs w:val="21"/>
          <w:highlight w:val="none"/>
        </w:rPr>
      </w:pPr>
      <w:r>
        <w:rPr>
          <w:rFonts w:hint="eastAsia" w:asciiTheme="minorEastAsia" w:hAnsiTheme="minorEastAsia" w:cstheme="minorEastAsia"/>
          <w:szCs w:val="21"/>
          <w:highlight w:val="none"/>
        </w:rPr>
        <w:t xml:space="preserve">附件二  </w:t>
      </w:r>
      <w:r>
        <w:rPr>
          <w:rFonts w:hint="eastAsia" w:asciiTheme="minorEastAsia" w:hAnsiTheme="minorEastAsia" w:cstheme="minorEastAsia"/>
          <w:b/>
          <w:bCs/>
          <w:szCs w:val="21"/>
          <w:highlight w:val="none"/>
        </w:rPr>
        <w:t>易损备品备件价格清单</w:t>
      </w:r>
    </w:p>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易损备品备件价格清单</w:t>
      </w:r>
    </w:p>
    <w:p>
      <w:pPr>
        <w:rPr>
          <w:rFonts w:asciiTheme="minorEastAsia" w:hAnsiTheme="minorEastAsia" w:cstheme="minorEastAsia"/>
          <w:color w:val="FF0000"/>
          <w:szCs w:val="21"/>
          <w:highlight w:val="none"/>
        </w:rPr>
      </w:pPr>
      <w:r>
        <w:rPr>
          <w:rFonts w:hint="eastAsia" w:asciiTheme="minorEastAsia" w:hAnsiTheme="minorEastAsia" w:cstheme="minorEastAsia"/>
          <w:szCs w:val="21"/>
          <w:highlight w:val="none"/>
        </w:rPr>
        <w:t>投标人名称：                                        项目编号：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985"/>
        <w:gridCol w:w="1275"/>
        <w:gridCol w:w="1560"/>
        <w:gridCol w:w="127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4"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序号</w:t>
            </w:r>
          </w:p>
        </w:tc>
        <w:tc>
          <w:tcPr>
            <w:tcW w:w="1985"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名称</w:t>
            </w:r>
          </w:p>
        </w:tc>
        <w:tc>
          <w:tcPr>
            <w:tcW w:w="1275"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型号</w:t>
            </w:r>
          </w:p>
        </w:tc>
        <w:tc>
          <w:tcPr>
            <w:tcW w:w="1560"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生产厂家</w:t>
            </w:r>
          </w:p>
        </w:tc>
        <w:tc>
          <w:tcPr>
            <w:tcW w:w="1275"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供货单价</w:t>
            </w:r>
          </w:p>
        </w:tc>
        <w:tc>
          <w:tcPr>
            <w:tcW w:w="1767" w:type="dxa"/>
            <w:vAlign w:val="center"/>
          </w:tcPr>
          <w:p>
            <w:pPr>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985" w:type="dxa"/>
            <w:vAlign w:val="center"/>
          </w:tcPr>
          <w:p>
            <w:pPr>
              <w:widowControl/>
              <w:jc w:val="center"/>
              <w:rPr>
                <w:rFonts w:asciiTheme="minorEastAsia" w:hAnsiTheme="minorEastAsia" w:cstheme="minorEastAsia"/>
                <w:szCs w:val="21"/>
                <w:highlight w:val="none"/>
              </w:rPr>
            </w:pPr>
          </w:p>
        </w:tc>
        <w:tc>
          <w:tcPr>
            <w:tcW w:w="1275" w:type="dxa"/>
            <w:vAlign w:val="center"/>
          </w:tcPr>
          <w:p>
            <w:pPr>
              <w:widowControl/>
              <w:jc w:val="center"/>
              <w:rPr>
                <w:rFonts w:asciiTheme="minorEastAsia" w:hAnsiTheme="minorEastAsia" w:cstheme="minorEastAsia"/>
                <w:szCs w:val="21"/>
                <w:highlight w:val="none"/>
              </w:rPr>
            </w:pPr>
          </w:p>
        </w:tc>
        <w:tc>
          <w:tcPr>
            <w:tcW w:w="1560" w:type="dxa"/>
            <w:vAlign w:val="center"/>
          </w:tcPr>
          <w:p>
            <w:pPr>
              <w:widowControl/>
              <w:jc w:val="center"/>
              <w:rPr>
                <w:rFonts w:asciiTheme="minorEastAsia" w:hAnsiTheme="minorEastAsia" w:cstheme="minorEastAsia"/>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4" w:type="dxa"/>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985" w:type="dxa"/>
            <w:vAlign w:val="center"/>
          </w:tcPr>
          <w:p>
            <w:pPr>
              <w:widowControl/>
              <w:jc w:val="center"/>
              <w:rPr>
                <w:rFonts w:asciiTheme="minorEastAsia" w:hAnsiTheme="minorEastAsia" w:cstheme="minorEastAsia"/>
                <w:szCs w:val="21"/>
                <w:highlight w:val="none"/>
              </w:rPr>
            </w:pPr>
          </w:p>
        </w:tc>
        <w:tc>
          <w:tcPr>
            <w:tcW w:w="1275" w:type="dxa"/>
            <w:vAlign w:val="center"/>
          </w:tcPr>
          <w:p>
            <w:pPr>
              <w:widowControl/>
              <w:jc w:val="center"/>
              <w:rPr>
                <w:rFonts w:asciiTheme="minorEastAsia" w:hAnsiTheme="minorEastAsia" w:cstheme="minorEastAsia"/>
                <w:szCs w:val="21"/>
                <w:highlight w:val="none"/>
              </w:rPr>
            </w:pPr>
          </w:p>
        </w:tc>
        <w:tc>
          <w:tcPr>
            <w:tcW w:w="1560" w:type="dxa"/>
            <w:vAlign w:val="center"/>
          </w:tcPr>
          <w:p>
            <w:pPr>
              <w:widowControl/>
              <w:jc w:val="center"/>
              <w:rPr>
                <w:rFonts w:asciiTheme="minorEastAsia" w:hAnsiTheme="minorEastAsia" w:cstheme="minorEastAsia"/>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985" w:type="dxa"/>
            <w:vAlign w:val="center"/>
          </w:tcPr>
          <w:p>
            <w:pPr>
              <w:widowControl/>
              <w:jc w:val="center"/>
              <w:rPr>
                <w:rFonts w:asciiTheme="minorEastAsia" w:hAnsiTheme="minorEastAsia" w:cstheme="minorEastAsia"/>
                <w:szCs w:val="21"/>
                <w:highlight w:val="none"/>
              </w:rPr>
            </w:pPr>
          </w:p>
        </w:tc>
        <w:tc>
          <w:tcPr>
            <w:tcW w:w="1275" w:type="dxa"/>
            <w:vAlign w:val="center"/>
          </w:tcPr>
          <w:p>
            <w:pPr>
              <w:widowControl/>
              <w:jc w:val="center"/>
              <w:rPr>
                <w:rFonts w:asciiTheme="minorEastAsia" w:hAnsiTheme="minorEastAsia" w:cstheme="minorEastAsia"/>
                <w:szCs w:val="21"/>
                <w:highlight w:val="none"/>
              </w:rPr>
            </w:pPr>
          </w:p>
        </w:tc>
        <w:tc>
          <w:tcPr>
            <w:tcW w:w="1560" w:type="dxa"/>
            <w:vAlign w:val="center"/>
          </w:tcPr>
          <w:p>
            <w:pPr>
              <w:widowControl/>
              <w:jc w:val="center"/>
              <w:rPr>
                <w:rFonts w:asciiTheme="minorEastAsia" w:hAnsiTheme="minorEastAsia" w:cstheme="minorEastAsia"/>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74" w:type="dxa"/>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985" w:type="dxa"/>
            <w:vAlign w:val="center"/>
          </w:tcPr>
          <w:p>
            <w:pPr>
              <w:widowControl/>
              <w:jc w:val="center"/>
              <w:rPr>
                <w:rFonts w:asciiTheme="minorEastAsia" w:hAnsiTheme="minorEastAsia" w:cstheme="minorEastAsia"/>
                <w:szCs w:val="21"/>
                <w:highlight w:val="none"/>
              </w:rPr>
            </w:pPr>
          </w:p>
        </w:tc>
        <w:tc>
          <w:tcPr>
            <w:tcW w:w="1275" w:type="dxa"/>
            <w:vAlign w:val="center"/>
          </w:tcPr>
          <w:p>
            <w:pPr>
              <w:widowControl/>
              <w:jc w:val="center"/>
              <w:rPr>
                <w:rFonts w:asciiTheme="minorEastAsia" w:hAnsiTheme="minorEastAsia" w:cstheme="minorEastAsia"/>
                <w:szCs w:val="21"/>
                <w:highlight w:val="none"/>
              </w:rPr>
            </w:pPr>
          </w:p>
        </w:tc>
        <w:tc>
          <w:tcPr>
            <w:tcW w:w="1560" w:type="dxa"/>
            <w:vAlign w:val="center"/>
          </w:tcPr>
          <w:p>
            <w:pPr>
              <w:widowControl/>
              <w:jc w:val="center"/>
              <w:rPr>
                <w:rFonts w:asciiTheme="minorEastAsia" w:hAnsiTheme="minorEastAsia" w:cstheme="minorEastAsia"/>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vAlign w:val="center"/>
          </w:tcPr>
          <w:p>
            <w:pPr>
              <w:widowControl/>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985" w:type="dxa"/>
            <w:vAlign w:val="center"/>
          </w:tcPr>
          <w:p>
            <w:pPr>
              <w:widowControl/>
              <w:jc w:val="center"/>
              <w:rPr>
                <w:rFonts w:asciiTheme="minorEastAsia" w:hAnsiTheme="minorEastAsia" w:cstheme="minorEastAsia"/>
                <w:szCs w:val="21"/>
                <w:highlight w:val="none"/>
              </w:rPr>
            </w:pPr>
          </w:p>
        </w:tc>
        <w:tc>
          <w:tcPr>
            <w:tcW w:w="1275" w:type="dxa"/>
            <w:vAlign w:val="center"/>
          </w:tcPr>
          <w:p>
            <w:pPr>
              <w:widowControl/>
              <w:jc w:val="center"/>
              <w:rPr>
                <w:rFonts w:asciiTheme="minorEastAsia" w:hAnsiTheme="minorEastAsia" w:cstheme="minorEastAsia"/>
                <w:szCs w:val="21"/>
                <w:highlight w:val="none"/>
              </w:rPr>
            </w:pPr>
          </w:p>
        </w:tc>
        <w:tc>
          <w:tcPr>
            <w:tcW w:w="1560" w:type="dxa"/>
            <w:vAlign w:val="center"/>
          </w:tcPr>
          <w:p>
            <w:pPr>
              <w:widowControl/>
              <w:jc w:val="center"/>
              <w:rPr>
                <w:rFonts w:asciiTheme="minorEastAsia" w:hAnsiTheme="minorEastAsia" w:cstheme="minorEastAsia"/>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tcPr>
          <w:p>
            <w:pPr>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w:t>
            </w:r>
          </w:p>
        </w:tc>
        <w:tc>
          <w:tcPr>
            <w:tcW w:w="1985"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560"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tcPr>
          <w:p>
            <w:pPr>
              <w:jc w:val="center"/>
              <w:rPr>
                <w:rFonts w:asciiTheme="minorEastAsia" w:hAnsiTheme="minorEastAsia" w:cstheme="minorEastAsia"/>
                <w:bCs/>
                <w:szCs w:val="21"/>
                <w:highlight w:val="none"/>
              </w:rPr>
            </w:pPr>
          </w:p>
        </w:tc>
        <w:tc>
          <w:tcPr>
            <w:tcW w:w="1985"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560"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tcPr>
          <w:p>
            <w:pPr>
              <w:jc w:val="center"/>
              <w:rPr>
                <w:rFonts w:asciiTheme="minorEastAsia" w:hAnsiTheme="minorEastAsia" w:cstheme="minorEastAsia"/>
                <w:bCs/>
                <w:szCs w:val="21"/>
                <w:highlight w:val="none"/>
              </w:rPr>
            </w:pPr>
          </w:p>
        </w:tc>
        <w:tc>
          <w:tcPr>
            <w:tcW w:w="1985"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560"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74" w:type="dxa"/>
          </w:tcPr>
          <w:p>
            <w:pPr>
              <w:jc w:val="center"/>
              <w:rPr>
                <w:rFonts w:asciiTheme="minorEastAsia" w:hAnsiTheme="minorEastAsia" w:cstheme="minorEastAsia"/>
                <w:bCs/>
                <w:szCs w:val="21"/>
                <w:highlight w:val="none"/>
              </w:rPr>
            </w:pPr>
          </w:p>
        </w:tc>
        <w:tc>
          <w:tcPr>
            <w:tcW w:w="1985"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560" w:type="dxa"/>
          </w:tcPr>
          <w:p>
            <w:pPr>
              <w:jc w:val="center"/>
              <w:rPr>
                <w:rFonts w:asciiTheme="minorEastAsia" w:hAnsiTheme="minorEastAsia" w:cstheme="minorEastAsia"/>
                <w:bCs/>
                <w:szCs w:val="21"/>
                <w:highlight w:val="none"/>
              </w:rPr>
            </w:pPr>
          </w:p>
        </w:tc>
        <w:tc>
          <w:tcPr>
            <w:tcW w:w="1275" w:type="dxa"/>
          </w:tcPr>
          <w:p>
            <w:pPr>
              <w:jc w:val="center"/>
              <w:rPr>
                <w:rFonts w:asciiTheme="minorEastAsia" w:hAnsiTheme="minorEastAsia" w:cstheme="minorEastAsia"/>
                <w:bCs/>
                <w:szCs w:val="21"/>
                <w:highlight w:val="none"/>
              </w:rPr>
            </w:pPr>
          </w:p>
        </w:tc>
        <w:tc>
          <w:tcPr>
            <w:tcW w:w="1767" w:type="dxa"/>
          </w:tcPr>
          <w:p>
            <w:pPr>
              <w:jc w:val="center"/>
              <w:rPr>
                <w:rFonts w:asciiTheme="minorEastAsia" w:hAnsiTheme="minorEastAsia" w:cstheme="minorEastAsia"/>
                <w:bCs/>
                <w:szCs w:val="21"/>
                <w:highlight w:val="none"/>
              </w:rPr>
            </w:pPr>
          </w:p>
        </w:tc>
      </w:tr>
    </w:tbl>
    <w:p>
      <w:pPr>
        <w:rPr>
          <w:rFonts w:asciiTheme="minorEastAsia" w:hAnsiTheme="minorEastAsia" w:cstheme="minorEastAsia"/>
          <w:bCs/>
          <w:szCs w:val="21"/>
          <w:highlight w:val="none"/>
        </w:rPr>
      </w:pPr>
    </w:p>
    <w:p>
      <w:pPr>
        <w:rPr>
          <w:rFonts w:asciiTheme="minorEastAsia" w:hAnsiTheme="minorEastAsia" w:cstheme="minorEastAsia"/>
          <w:szCs w:val="21"/>
          <w:highlight w:val="none"/>
        </w:rPr>
      </w:pPr>
      <w:r>
        <w:rPr>
          <w:rFonts w:hint="eastAsia" w:asciiTheme="minorEastAsia" w:hAnsiTheme="minorEastAsia" w:cstheme="minorEastAsia"/>
          <w:bCs/>
          <w:szCs w:val="21"/>
          <w:highlight w:val="none"/>
        </w:rPr>
        <w:t>投标人（盖章）：                                      授权代表（签字）：</w:t>
      </w:r>
    </w:p>
    <w:p>
      <w:pPr>
        <w:jc w:val="right"/>
        <w:rPr>
          <w:rFonts w:asciiTheme="minorEastAsia" w:hAnsiTheme="minorEastAsia" w:cstheme="minorEastAsia"/>
          <w:szCs w:val="21"/>
          <w:highlight w:val="none"/>
        </w:rPr>
      </w:pPr>
    </w:p>
    <w:p>
      <w:pPr>
        <w:jc w:val="right"/>
        <w:rPr>
          <w:rFonts w:asciiTheme="minorEastAsia" w:hAnsiTheme="minorEastAsia" w:cstheme="minorEastAsia"/>
          <w:szCs w:val="21"/>
          <w:highlight w:val="none"/>
        </w:rPr>
      </w:pPr>
      <w:r>
        <w:rPr>
          <w:rFonts w:hint="eastAsia" w:asciiTheme="minorEastAsia" w:hAnsiTheme="minorEastAsia" w:cstheme="minorEastAsia"/>
          <w:szCs w:val="21"/>
          <w:highlight w:val="none"/>
        </w:rPr>
        <w:t>日期：    年    月    日</w:t>
      </w:r>
    </w:p>
    <w:p>
      <w:pPr>
        <w:spacing w:line="360" w:lineRule="auto"/>
        <w:rPr>
          <w:highlight w:val="none"/>
        </w:rPr>
      </w:pPr>
    </w:p>
    <w:p>
      <w:pPr>
        <w:spacing w:line="360" w:lineRule="auto"/>
        <w:rPr>
          <w:highlight w:val="none"/>
        </w:rPr>
      </w:pPr>
    </w:p>
    <w:p>
      <w:pPr>
        <w:spacing w:line="360" w:lineRule="auto"/>
        <w:rPr>
          <w:highlight w:val="none"/>
        </w:rPr>
      </w:pPr>
    </w:p>
    <w:p>
      <w:pPr>
        <w:ind w:right="420"/>
        <w:rPr>
          <w:rFonts w:asciiTheme="minorEastAsia" w:hAnsiTheme="minorEastAsia" w:cstheme="minorEastAsia"/>
          <w:b/>
          <w:szCs w:val="21"/>
          <w:highlight w:val="none"/>
        </w:rPr>
      </w:pPr>
      <w:r>
        <w:rPr>
          <w:rFonts w:hint="eastAsia" w:asciiTheme="minorEastAsia" w:hAnsiTheme="minorEastAsia" w:cstheme="minorEastAsia"/>
          <w:b/>
          <w:szCs w:val="21"/>
          <w:highlight w:val="none"/>
        </w:rPr>
        <w:t>附件三 商务条款偏离表</w:t>
      </w:r>
    </w:p>
    <w:p>
      <w:pPr>
        <w:pStyle w:val="17"/>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投标人名称：                                  项目编号：</w:t>
      </w:r>
    </w:p>
    <w:p>
      <w:pPr>
        <w:spacing w:line="360" w:lineRule="auto"/>
        <w:jc w:val="left"/>
        <w:rPr>
          <w:rFonts w:asciiTheme="minorEastAsia" w:hAnsiTheme="minorEastAsia" w:cstheme="minorEastAsia"/>
          <w:color w:val="000000"/>
          <w:szCs w:val="21"/>
          <w:highlight w:val="none"/>
        </w:rPr>
      </w:pPr>
      <w:r>
        <w:rPr>
          <w:rFonts w:hint="eastAsia" w:asciiTheme="minorEastAsia" w:hAnsiTheme="minorEastAsia" w:cstheme="minorEastAsia"/>
          <w:color w:val="000000"/>
          <w:szCs w:val="21"/>
          <w:highlight w:val="none"/>
        </w:rPr>
        <w:t xml:space="preserve">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982"/>
        <w:gridCol w:w="3221"/>
        <w:gridCol w:w="1452"/>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602" w:type="dxa"/>
            <w:vMerge w:val="restart"/>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招标文件条款</w:t>
            </w:r>
          </w:p>
        </w:tc>
        <w:tc>
          <w:tcPr>
            <w:tcW w:w="3893" w:type="dxa"/>
            <w:gridSpan w:val="2"/>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cstheme="minorEastAsia"/>
                <w:kern w:val="0"/>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条款号</w:t>
            </w: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条款内容</w:t>
            </w: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条款号</w:t>
            </w: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322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1452"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c>
          <w:tcPr>
            <w:tcW w:w="2441" w:type="dxa"/>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rFonts w:asciiTheme="minorEastAsia" w:hAnsiTheme="minorEastAsia" w:eastAsiaTheme="minorEastAsia" w:cstheme="minorEastAsia"/>
                <w:sz w:val="21"/>
                <w:szCs w:val="21"/>
                <w:highlight w:val="none"/>
              </w:rPr>
            </w:pPr>
          </w:p>
        </w:tc>
      </w:tr>
    </w:tbl>
    <w:p>
      <w:pPr>
        <w:pStyle w:val="17"/>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标人名称（盖公章）：                授权代表签字：             日期：</w:t>
      </w:r>
    </w:p>
    <w:p>
      <w:pPr>
        <w:pStyle w:val="17"/>
        <w:spacing w:line="360" w:lineRule="auto"/>
        <w:rPr>
          <w:rFonts w:asciiTheme="minorEastAsia" w:hAnsiTheme="minorEastAsia"/>
          <w:szCs w:val="21"/>
          <w:highlight w:val="none"/>
        </w:rPr>
      </w:pPr>
      <w:r>
        <w:rPr>
          <w:rFonts w:ascii="Times New Roman" w:hAnsi="Times New Roman"/>
          <w:b/>
          <w:sz w:val="21"/>
          <w:highlight w:val="none"/>
        </w:rPr>
        <w:t>注：</w:t>
      </w:r>
      <w:r>
        <w:rPr>
          <w:rFonts w:ascii="Times New Roman" w:hAnsi="Times New Roman"/>
          <w:sz w:val="21"/>
          <w:highlight w:val="none"/>
        </w:rPr>
        <w:t>为避免歧义，无偏离也应要提报该表，并注明“无”字。如无该表则即使在其它部分已反映，将也被视为“无偏离</w:t>
      </w:r>
      <w:r>
        <w:rPr>
          <w:highlight w:val="none"/>
        </w:rPr>
        <w:br w:type="page"/>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sz w:val="28"/>
          <w:szCs w:val="28"/>
          <w:highlight w:val="none"/>
        </w:rPr>
      </w:pPr>
    </w:p>
    <w:p>
      <w:pPr>
        <w:rPr>
          <w:b/>
          <w:bCs/>
          <w:sz w:val="28"/>
          <w:szCs w:val="28"/>
          <w:highlight w:val="none"/>
        </w:rPr>
      </w:pPr>
      <w:r>
        <w:rPr>
          <w:rFonts w:hint="eastAsia"/>
          <w:b/>
          <w:bCs/>
          <w:sz w:val="28"/>
          <w:szCs w:val="28"/>
          <w:highlight w:val="none"/>
        </w:rPr>
        <w:t>备注：</w:t>
      </w:r>
      <w:r>
        <w:rPr>
          <w:b/>
          <w:bCs/>
          <w:sz w:val="28"/>
          <w:szCs w:val="28"/>
          <w:highlight w:val="none"/>
        </w:rPr>
        <w:t>投标承诺函</w:t>
      </w:r>
      <w:r>
        <w:rPr>
          <w:rFonts w:hint="eastAsia"/>
          <w:b/>
          <w:bCs/>
          <w:sz w:val="28"/>
          <w:szCs w:val="28"/>
          <w:highlight w:val="none"/>
        </w:rPr>
        <w:t>及清单报价属于商务标，其余部分为技术标，技术标与商务标分开装订，分开密封。技术标部分不得体现报价金额。</w:t>
      </w:r>
    </w:p>
    <w:p>
      <w:pPr>
        <w:rPr>
          <w:b/>
          <w:bCs/>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jc w:val="center"/>
        <w:rPr>
          <w:rFonts w:asciiTheme="minorEastAsia" w:hAnsiTheme="minorEastAsia" w:eastAsiaTheme="minorEastAsia"/>
          <w:b/>
          <w:sz w:val="21"/>
          <w:szCs w:val="21"/>
          <w:highlight w:val="none"/>
        </w:rPr>
      </w:pPr>
      <w:bookmarkStart w:id="59" w:name="_Toc7043"/>
      <w:r>
        <w:rPr>
          <w:rFonts w:hint="eastAsia"/>
          <w:highlight w:val="none"/>
        </w:rPr>
        <w:t>第三章： 合同条件</w:t>
      </w:r>
      <w:bookmarkEnd w:id="59"/>
    </w:p>
    <w:p>
      <w:pPr>
        <w:pStyle w:val="7"/>
        <w:spacing w:line="360" w:lineRule="auto"/>
        <w:outlineLvl w:val="0"/>
        <w:rPr>
          <w:rFonts w:asciiTheme="minorEastAsia" w:hAnsiTheme="minorEastAsia" w:eastAsiaTheme="minorEastAsia"/>
          <w:b/>
          <w:bCs/>
          <w:sz w:val="21"/>
          <w:szCs w:val="21"/>
          <w:highlight w:val="none"/>
        </w:rPr>
      </w:pPr>
      <w:bookmarkStart w:id="60" w:name="_Toc22902"/>
      <w:r>
        <w:rPr>
          <w:rFonts w:hint="eastAsia" w:asciiTheme="minorEastAsia" w:hAnsiTheme="minorEastAsia" w:eastAsiaTheme="minorEastAsia"/>
          <w:b/>
          <w:bCs/>
          <w:sz w:val="21"/>
          <w:szCs w:val="21"/>
          <w:highlight w:val="none"/>
        </w:rPr>
        <w:t>无</w:t>
      </w:r>
      <w:bookmarkEnd w:id="60"/>
    </w:p>
    <w:p>
      <w:pPr>
        <w:pStyle w:val="7"/>
        <w:spacing w:line="360" w:lineRule="auto"/>
        <w:outlineLvl w:val="0"/>
        <w:rPr>
          <w:rFonts w:asciiTheme="minorEastAsia" w:hAnsiTheme="minorEastAsia" w:eastAsiaTheme="minorEastAsia"/>
          <w:b/>
          <w:bCs/>
          <w:sz w:val="21"/>
          <w:szCs w:val="21"/>
          <w:highlight w:val="none"/>
        </w:rPr>
      </w:pPr>
    </w:p>
    <w:p>
      <w:pPr>
        <w:pStyle w:val="7"/>
        <w:spacing w:line="360" w:lineRule="auto"/>
        <w:outlineLvl w:val="0"/>
        <w:rPr>
          <w:rFonts w:asciiTheme="minorEastAsia" w:hAnsiTheme="minorEastAsia" w:eastAsiaTheme="minorEastAsia"/>
          <w:b/>
          <w:bCs/>
          <w:sz w:val="21"/>
          <w:szCs w:val="21"/>
          <w:highlight w:val="none"/>
        </w:rPr>
      </w:pPr>
    </w:p>
    <w:p>
      <w:pPr>
        <w:pStyle w:val="7"/>
        <w:spacing w:line="360" w:lineRule="auto"/>
        <w:outlineLvl w:val="0"/>
        <w:rPr>
          <w:rFonts w:asciiTheme="minorEastAsia" w:hAnsiTheme="minorEastAsia" w:eastAsiaTheme="minorEastAsia"/>
          <w:b/>
          <w:bCs/>
          <w:sz w:val="21"/>
          <w:szCs w:val="21"/>
          <w:highlight w:val="none"/>
        </w:rPr>
      </w:pPr>
    </w:p>
    <w:p>
      <w:pPr>
        <w:spacing w:line="360" w:lineRule="auto"/>
        <w:ind w:firstLine="3856" w:firstLineChars="1067"/>
        <w:rPr>
          <w:rFonts w:ascii="宋体" w:hAnsi="宋体"/>
          <w:b/>
          <w:bCs/>
          <w:sz w:val="36"/>
          <w:szCs w:val="36"/>
          <w:highlight w:val="none"/>
        </w:rPr>
      </w:pPr>
      <w:r>
        <w:rPr>
          <w:rFonts w:hint="eastAsia" w:ascii="宋体" w:hAnsi="宋体"/>
          <w:b/>
          <w:bCs/>
          <w:sz w:val="36"/>
          <w:szCs w:val="36"/>
          <w:highlight w:val="none"/>
        </w:rPr>
        <w:t>廉洁合作协议</w:t>
      </w:r>
    </w:p>
    <w:p>
      <w:pPr>
        <w:adjustRightInd w:val="0"/>
        <w:snapToGrid w:val="0"/>
        <w:spacing w:line="360" w:lineRule="auto"/>
        <w:rPr>
          <w:rFonts w:ascii="宋体" w:hAnsi="宋体"/>
          <w:b/>
          <w:bCs/>
          <w:szCs w:val="21"/>
          <w:highlight w:val="none"/>
        </w:rPr>
      </w:pPr>
      <w:r>
        <w:rPr>
          <w:rFonts w:hint="eastAsia" w:ascii="宋体" w:hAnsi="宋体"/>
          <w:b/>
          <w:bCs/>
          <w:szCs w:val="21"/>
          <w:highlight w:val="none"/>
        </w:rPr>
        <w:t xml:space="preserve">甲方:  </w:t>
      </w:r>
      <w:r>
        <w:rPr>
          <w:rFonts w:ascii="宋体" w:hAnsi="宋体"/>
          <w:b/>
          <w:bCs/>
          <w:szCs w:val="21"/>
          <w:highlight w:val="none"/>
        </w:rPr>
        <w:t xml:space="preserve">                                                         </w:t>
      </w:r>
    </w:p>
    <w:p>
      <w:pPr>
        <w:adjustRightInd w:val="0"/>
        <w:snapToGrid w:val="0"/>
        <w:spacing w:line="360" w:lineRule="auto"/>
        <w:rPr>
          <w:rFonts w:ascii="宋体" w:hAnsi="宋体"/>
          <w:b/>
          <w:bCs/>
          <w:szCs w:val="21"/>
          <w:highlight w:val="none"/>
        </w:rPr>
      </w:pPr>
      <w:r>
        <w:rPr>
          <w:rFonts w:hint="eastAsia" w:ascii="宋体" w:hAnsi="宋体"/>
          <w:b/>
          <w:bCs/>
          <w:szCs w:val="21"/>
          <w:highlight w:val="none"/>
        </w:rPr>
        <w:t xml:space="preserve">乙方: </w:t>
      </w:r>
    </w:p>
    <w:p>
      <w:pPr>
        <w:adjustRightInd w:val="0"/>
        <w:snapToGrid w:val="0"/>
        <w:spacing w:line="360" w:lineRule="auto"/>
        <w:ind w:firstLine="420" w:firstLineChars="200"/>
        <w:rPr>
          <w:rFonts w:ascii="宋体" w:hAnsi="宋体"/>
          <w:szCs w:val="21"/>
          <w:highlight w:val="none"/>
        </w:rPr>
      </w:pPr>
      <w:r>
        <w:rPr>
          <w:rFonts w:hint="eastAsia" w:ascii="宋体" w:hAnsi="宋体"/>
          <w:bCs/>
          <w:szCs w:val="21"/>
          <w:highlight w:val="none"/>
        </w:rPr>
        <w:t>鉴于:</w:t>
      </w:r>
      <w:r>
        <w:rPr>
          <w:rFonts w:hint="eastAsia" w:ascii="宋体" w:hAnsi="宋体"/>
          <w:szCs w:val="21"/>
          <w:highlight w:val="none"/>
        </w:rPr>
        <w:t>双方追求公平、公正、透明的经营环境的共同目的</w:t>
      </w:r>
      <w:r>
        <w:rPr>
          <w:rFonts w:ascii="宋体" w:hAnsi="宋体"/>
          <w:szCs w:val="21"/>
          <w:highlight w:val="none"/>
        </w:rPr>
        <w:t>，为</w:t>
      </w:r>
      <w:r>
        <w:rPr>
          <w:rFonts w:hint="eastAsia" w:ascii="宋体" w:hAnsi="宋体"/>
          <w:szCs w:val="21"/>
          <w:highlight w:val="none"/>
        </w:rPr>
        <w:t>保证阳光合作，保障交易顺利进行，维护双方利益，特签署本协议</w:t>
      </w:r>
      <w:r>
        <w:rPr>
          <w:rFonts w:ascii="宋体" w:hAnsi="宋体"/>
          <w:szCs w:val="21"/>
          <w:highlight w:val="none"/>
        </w:rPr>
        <w:t>。</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一、术语和定义</w:t>
      </w:r>
    </w:p>
    <w:p>
      <w:pPr>
        <w:adjustRightInd w:val="0"/>
        <w:snapToGrid w:val="0"/>
        <w:spacing w:line="360" w:lineRule="auto"/>
        <w:ind w:firstLine="420" w:firstLineChars="200"/>
        <w:rPr>
          <w:rFonts w:ascii="宋体" w:hAnsi="宋体"/>
          <w:b/>
          <w:szCs w:val="21"/>
          <w:highlight w:val="none"/>
        </w:rPr>
      </w:pPr>
      <w:r>
        <w:rPr>
          <w:rFonts w:hint="eastAsia" w:ascii="宋体" w:hAnsi="宋体"/>
          <w:szCs w:val="21"/>
          <w:highlight w:val="none"/>
        </w:rPr>
        <w:t>下列用于协议书的文字，除依其文义需做另外的解释外，均依本条要求解释：</w:t>
      </w:r>
    </w:p>
    <w:p>
      <w:pPr>
        <w:pStyle w:val="58"/>
        <w:adjustRightInd w:val="0"/>
        <w:snapToGrid w:val="0"/>
        <w:spacing w:line="360" w:lineRule="auto"/>
        <w:ind w:firstLine="315" w:firstLineChars="150"/>
        <w:rPr>
          <w:rFonts w:ascii="宋体" w:hAnsi="宋体"/>
          <w:szCs w:val="21"/>
          <w:highlight w:val="none"/>
        </w:rPr>
      </w:pPr>
      <w:r>
        <w:rPr>
          <w:rFonts w:ascii="宋体" w:hAnsi="宋体"/>
          <w:szCs w:val="21"/>
          <w:highlight w:val="none"/>
        </w:rPr>
        <w:t>(</w:t>
      </w:r>
      <w:r>
        <w:rPr>
          <w:rFonts w:hint="eastAsia" w:ascii="宋体" w:hAnsi="宋体"/>
          <w:szCs w:val="21"/>
          <w:highlight w:val="none"/>
        </w:rPr>
        <w:t>一</w:t>
      </w:r>
      <w:r>
        <w:rPr>
          <w:rFonts w:ascii="宋体" w:hAnsi="宋体"/>
          <w:szCs w:val="21"/>
          <w:highlight w:val="none"/>
        </w:rPr>
        <w:t>)</w:t>
      </w:r>
      <w:r>
        <w:rPr>
          <w:rFonts w:hint="eastAsia" w:ascii="宋体" w:hAnsi="宋体"/>
          <w:szCs w:val="21"/>
          <w:highlight w:val="none"/>
        </w:rPr>
        <w:t>甲方：除作为协议主体外，本协议所指甲方包含甲方及其关联企业；</w:t>
      </w:r>
    </w:p>
    <w:p>
      <w:pPr>
        <w:adjustRightInd w:val="0"/>
        <w:snapToGrid w:val="0"/>
        <w:spacing w:line="360" w:lineRule="auto"/>
        <w:ind w:firstLine="315" w:firstLineChars="150"/>
        <w:rPr>
          <w:rFonts w:ascii="宋体" w:hAnsi="宋体"/>
          <w:szCs w:val="21"/>
          <w:highlight w:val="none"/>
        </w:rPr>
      </w:pPr>
      <w:r>
        <w:rPr>
          <w:rFonts w:ascii="宋体" w:hAnsi="宋体"/>
          <w:szCs w:val="21"/>
          <w:highlight w:val="none"/>
        </w:rPr>
        <w:t>(二)</w:t>
      </w:r>
      <w:r>
        <w:rPr>
          <w:rFonts w:hint="eastAsia" w:ascii="宋体" w:hAnsi="宋体"/>
          <w:szCs w:val="21"/>
          <w:highlight w:val="none"/>
        </w:rPr>
        <w:t>乙方：除作为协议主体外，本协议所指乙方包含乙方及其关联企业；</w:t>
      </w:r>
    </w:p>
    <w:p>
      <w:pPr>
        <w:adjustRightInd w:val="0"/>
        <w:snapToGrid w:val="0"/>
        <w:spacing w:line="360" w:lineRule="auto"/>
        <w:ind w:firstLine="315" w:firstLineChars="150"/>
        <w:rPr>
          <w:rFonts w:ascii="宋体" w:hAnsi="宋体"/>
          <w:szCs w:val="21"/>
          <w:highlight w:val="none"/>
        </w:rPr>
      </w:pPr>
      <w:r>
        <w:rPr>
          <w:rFonts w:ascii="宋体" w:hAnsi="宋体"/>
          <w:szCs w:val="21"/>
          <w:highlight w:val="none"/>
        </w:rPr>
        <w:t>(三)</w:t>
      </w:r>
      <w:r>
        <w:rPr>
          <w:rFonts w:hint="eastAsia" w:ascii="宋体" w:hAnsi="宋体"/>
          <w:szCs w:val="21"/>
          <w:highlight w:val="none"/>
        </w:rPr>
        <w:t>利害关系人：指一方员工近亲属及其他关系密切或有利益往来的亲友；</w:t>
      </w:r>
    </w:p>
    <w:p>
      <w:pPr>
        <w:adjustRightInd w:val="0"/>
        <w:snapToGrid w:val="0"/>
        <w:spacing w:line="360" w:lineRule="auto"/>
        <w:ind w:firstLine="315" w:firstLineChars="150"/>
        <w:rPr>
          <w:rFonts w:ascii="宋体" w:hAnsi="宋体"/>
          <w:szCs w:val="21"/>
          <w:highlight w:val="none"/>
        </w:rPr>
      </w:pPr>
      <w:r>
        <w:rPr>
          <w:rFonts w:ascii="宋体" w:hAnsi="宋体"/>
          <w:szCs w:val="21"/>
          <w:highlight w:val="none"/>
        </w:rPr>
        <w:t>(四)</w:t>
      </w:r>
      <w:r>
        <w:rPr>
          <w:rFonts w:hint="eastAsia" w:ascii="宋体" w:hAnsi="宋体"/>
          <w:szCs w:val="21"/>
          <w:highlight w:val="none"/>
        </w:rPr>
        <w:t>关联企业：关联方关系是指在企业财务和经营决策中，如果一方有能力直接或间接控制、共同控制另一方或对另一方施加重大影响，将视其为关联方；如果两方或多方同受一方控制，也将其视为关联方；</w:t>
      </w:r>
    </w:p>
    <w:p>
      <w:pPr>
        <w:adjustRightInd w:val="0"/>
        <w:snapToGrid w:val="0"/>
        <w:spacing w:line="360" w:lineRule="auto"/>
        <w:ind w:firstLine="315" w:firstLineChars="150"/>
        <w:rPr>
          <w:rFonts w:ascii="宋体" w:hAnsi="宋体"/>
          <w:szCs w:val="21"/>
          <w:highlight w:val="none"/>
        </w:rPr>
      </w:pPr>
      <w:r>
        <w:rPr>
          <w:rFonts w:ascii="宋体" w:hAnsi="宋体"/>
          <w:szCs w:val="21"/>
          <w:highlight w:val="none"/>
        </w:rPr>
        <w:t>(</w:t>
      </w:r>
      <w:r>
        <w:rPr>
          <w:rFonts w:hint="eastAsia" w:ascii="宋体" w:hAnsi="宋体"/>
          <w:szCs w:val="21"/>
          <w:highlight w:val="none"/>
        </w:rPr>
        <w:t>五</w:t>
      </w:r>
      <w:r>
        <w:rPr>
          <w:rFonts w:ascii="宋体" w:hAnsi="宋体"/>
          <w:szCs w:val="21"/>
          <w:highlight w:val="none"/>
        </w:rPr>
        <w:t>)</w:t>
      </w:r>
      <w:r>
        <w:rPr>
          <w:rFonts w:hint="eastAsia" w:ascii="宋体" w:hAnsi="宋体"/>
          <w:szCs w:val="21"/>
          <w:highlight w:val="none"/>
        </w:rPr>
        <w:t>不正当利益：指违反国家法律、法规以及甲方公司制度的利益，以及要求甲方提供违反国家法律、法规及甲方公司制度的帮助或便利条件，包括但不限于以下情形：</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1、向甲方员工或利害关系人提供、承诺或给予 “酬金”、“回扣”或其他各种形式的现金或有价物品、包括有价证券、股份、礼物、购物卡、健身卡等；</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2、向甲方员工或其利害关系人提供各种形式劳务报酬、提成、经营分红等；</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3、向甲方员工或利害关系人以结婚、生日、丧葬等名义赠送礼金；</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4、向甲方员工或利害关系人以不合理的低价或免费借用金钱、汽车、房屋等财物，或以不合理的高价从甲方借</w:t>
      </w:r>
      <w:r>
        <w:rPr>
          <w:rFonts w:ascii="宋体" w:hAnsi="宋体"/>
          <w:szCs w:val="21"/>
          <w:highlight w:val="none"/>
        </w:rPr>
        <w:t>/</w:t>
      </w:r>
      <w:r>
        <w:rPr>
          <w:rFonts w:hint="eastAsia" w:ascii="宋体" w:hAnsi="宋体"/>
          <w:szCs w:val="21"/>
          <w:highlight w:val="none"/>
        </w:rPr>
        <w:t>租入金钱、汽车、房屋等财物；</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5、与甲方员工或其利害关系人进行含金钱性质的棋牌娱乐类活动、赌博性质活动；</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6、为甲方员工或其利害关系人提供持股（含干股、暗股，不含证券市场小宗交易）、任职、顾问、直接或间接参与经营等机会或便利；</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7、利用甲方或其利害关系人的便利为乙方谋取交易机会；</w:t>
      </w:r>
    </w:p>
    <w:p>
      <w:pPr>
        <w:pStyle w:val="58"/>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8、其他违背诚信原则、职业道德从甲方或通过甲方获取利益的情形。</w:t>
      </w:r>
    </w:p>
    <w:p>
      <w:pPr>
        <w:adjustRightInd w:val="0"/>
        <w:snapToGrid w:val="0"/>
        <w:spacing w:line="360" w:lineRule="auto"/>
        <w:ind w:firstLine="424" w:firstLineChars="202"/>
        <w:rPr>
          <w:rFonts w:ascii="宋体" w:hAnsi="宋体"/>
          <w:szCs w:val="21"/>
          <w:highlight w:val="none"/>
        </w:rPr>
      </w:pPr>
      <w:r>
        <w:rPr>
          <w:rFonts w:hint="eastAsia" w:ascii="宋体" w:hAnsi="宋体"/>
          <w:szCs w:val="21"/>
          <w:highlight w:val="none"/>
        </w:rPr>
        <w:t>（六）黑名单：是指瑞纳集团记录重大违规违法行为企业的汇总名单，列入黑名单的企业及其关联企业十年内不得与瑞纳集团各单位进行业务合作。</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二、乙方的声明和保证</w:t>
      </w:r>
    </w:p>
    <w:p>
      <w:pPr>
        <w:pStyle w:val="58"/>
        <w:tabs>
          <w:tab w:val="left" w:pos="8238"/>
        </w:tabs>
        <w:adjustRightInd w:val="0"/>
        <w:snapToGrid w:val="0"/>
        <w:spacing w:line="360" w:lineRule="auto"/>
        <w:rPr>
          <w:rFonts w:ascii="宋体" w:hAnsi="宋体"/>
          <w:szCs w:val="21"/>
          <w:highlight w:val="none"/>
        </w:rPr>
      </w:pPr>
      <w:r>
        <w:rPr>
          <w:rFonts w:hint="eastAsia" w:ascii="宋体" w:hAnsi="宋体"/>
          <w:szCs w:val="21"/>
          <w:highlight w:val="none"/>
        </w:rPr>
        <w:t>1、乙方声明并保证因与甲方签署或履行协议而提供给甲方的全部信息、材料是真实、完整、正确、合法、有效的，没有提供虚假材料、伪造证章。</w:t>
      </w:r>
    </w:p>
    <w:p>
      <w:pPr>
        <w:pStyle w:val="58"/>
        <w:tabs>
          <w:tab w:val="left" w:pos="8238"/>
        </w:tabs>
        <w:adjustRightInd w:val="0"/>
        <w:snapToGrid w:val="0"/>
        <w:spacing w:line="360" w:lineRule="auto"/>
        <w:rPr>
          <w:rFonts w:ascii="宋体" w:hAnsi="宋体"/>
          <w:szCs w:val="21"/>
          <w:highlight w:val="none"/>
        </w:rPr>
      </w:pPr>
      <w:r>
        <w:rPr>
          <w:rFonts w:hint="eastAsia" w:ascii="宋体" w:hAnsi="宋体"/>
          <w:szCs w:val="21"/>
          <w:highlight w:val="none"/>
        </w:rPr>
        <w:t>2、乙方保证依法开展经营活动，尤其不得进行任何形式的商业贿赂行为。一经发现有任何涉及甲方的商业贿赂行为，应立即通知甲方，并进行查处和整改。</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3、乙方不得以任何方式向甲方员工或其利害关系人作出直接或间接允诺，也不得和甲方员工或其利害关系人之间发生任何不正当利益往来；</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4、乙方在与甲方合作过程中不得发生违背诚实信用和公平交易原则、违反社会公序良俗和法律法规等行为。</w:t>
      </w:r>
    </w:p>
    <w:p>
      <w:pPr>
        <w:pStyle w:val="58"/>
        <w:tabs>
          <w:tab w:val="left" w:pos="8238"/>
        </w:tabs>
        <w:adjustRightInd w:val="0"/>
        <w:snapToGrid w:val="0"/>
        <w:spacing w:line="360" w:lineRule="auto"/>
        <w:rPr>
          <w:rFonts w:ascii="宋体" w:hAnsi="宋体"/>
          <w:szCs w:val="21"/>
          <w:highlight w:val="none"/>
        </w:rPr>
      </w:pPr>
      <w:r>
        <w:rPr>
          <w:rFonts w:hint="eastAsia" w:ascii="宋体" w:hAnsi="宋体"/>
          <w:szCs w:val="21"/>
          <w:highlight w:val="none"/>
        </w:rPr>
        <w:t>5、乙方声明在双方业务往来期间及合作终止后3年内不对甲方的员工，包括但不限于董事、经理、员工等采取任何手段使其离开甲方到乙方或乙方关联企业、乙方客户单位工作或任职。</w:t>
      </w:r>
    </w:p>
    <w:p>
      <w:pPr>
        <w:pStyle w:val="58"/>
        <w:tabs>
          <w:tab w:val="left" w:pos="8238"/>
        </w:tabs>
        <w:adjustRightInd w:val="0"/>
        <w:snapToGrid w:val="0"/>
        <w:spacing w:line="360" w:lineRule="auto"/>
        <w:ind w:firstLine="422"/>
        <w:rPr>
          <w:b/>
          <w:bCs/>
          <w:highlight w:val="none"/>
        </w:rPr>
      </w:pPr>
      <w:r>
        <w:rPr>
          <w:rFonts w:hint="eastAsia"/>
          <w:b/>
          <w:bCs/>
          <w:highlight w:val="none"/>
        </w:rPr>
        <w:t>乙方如违反以上行为要求，甲方有权按照本协议第五条约定的违约责任进行处理。</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三、甲方权利义务</w:t>
      </w:r>
      <w:r>
        <w:rPr>
          <w:rFonts w:ascii="宋体" w:hAnsi="宋体"/>
          <w:b/>
          <w:szCs w:val="21"/>
          <w:highlight w:val="none"/>
        </w:rPr>
        <w:tab/>
      </w:r>
    </w:p>
    <w:p>
      <w:pPr>
        <w:adjustRightInd w:val="0"/>
        <w:snapToGrid w:val="0"/>
        <w:spacing w:line="360" w:lineRule="auto"/>
        <w:ind w:firstLine="420" w:firstLineChars="200"/>
        <w:rPr>
          <w:rFonts w:ascii="宋体" w:hAnsi="宋体"/>
          <w:b/>
          <w:szCs w:val="21"/>
          <w:highlight w:val="none"/>
        </w:rPr>
      </w:pPr>
      <w:r>
        <w:rPr>
          <w:rFonts w:hint="eastAsia" w:ascii="宋体" w:hAnsi="宋体"/>
          <w:szCs w:val="21"/>
          <w:highlight w:val="none"/>
        </w:rPr>
        <w:t>1、甲方禁止甲方员工与乙方发生任何不正当利益往来，如发现此类问题，甲方有权按照乙方提供的举报方式进行举报。</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2、甲方鼓励乙方举报甲方员工违规行为，并按照甲方相关政策对乙方予以奖励；对于乙方的举报，甲方应严格保密，并及时予以查实和处理。</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3、甲方有权对不正当利益行为进行调查，情节严重的，甲方有权移送司法机关。</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如甲方发现乙方或其业务合作伙伴可能存在已违反或将违反本协议的情形，甲方有权对乙方就该特定事项进行审计；同时甲方有权就双方之间的交易进行定期审计。审计措施包括但不限于：就合规政策、培训和监督进行问卷调查；监测交易以发现可能的商业贿赂迹象；检查乙方与甲方之间业务协议中涉及的活动和</w:t>
      </w:r>
      <w:r>
        <w:rPr>
          <w:rFonts w:ascii="宋体" w:hAnsi="宋体"/>
          <w:szCs w:val="21"/>
          <w:highlight w:val="none"/>
        </w:rPr>
        <w:t>/</w:t>
      </w:r>
      <w:r>
        <w:rPr>
          <w:rFonts w:hint="eastAsia" w:ascii="宋体" w:hAnsi="宋体"/>
          <w:szCs w:val="21"/>
          <w:highlight w:val="none"/>
        </w:rPr>
        <w:t>或因此开展的活动的政策方针、流程、账簿和记录等。</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四、乙方权利义务</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1、乙方确认知晓双方签署本协议的目的，理解甲方对双方廉洁合作的重大关切，明白违反廉洁行为的后果，同意定期向乙方公司员工宣传贯彻，并遵照执行本协议。</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2、乙方承诺严格依照法律规定、合同约定履行合同义务，不向甲方及其关联企业员工提供任何不正当利益。</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3、如乙方员工为甲方员工的利害关系人时，乙方应将该事实立即披露给甲方。</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4、乙方应当拒绝甲方员工以任何形式向乙方谋求、索取不正当利益的要求，并及时向甲方举报甲方员工的违规行为，举报属实的，将按照甲方相关管理制度对乙方予以奖励，并在同等条件下优先合作。</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5、乙方在接受甲方调查和审计时，不得隐瞒事实真相，不提供虚假材料。调查后，不得推翻已经认可的调查事实。</w:t>
      </w:r>
    </w:p>
    <w:p>
      <w:pPr>
        <w:pStyle w:val="58"/>
        <w:tabs>
          <w:tab w:val="left" w:pos="8238"/>
        </w:tabs>
        <w:adjustRightInd w:val="0"/>
        <w:snapToGrid w:val="0"/>
        <w:spacing w:line="360" w:lineRule="auto"/>
        <w:rPr>
          <w:rFonts w:ascii="宋体" w:hAnsi="宋体"/>
          <w:szCs w:val="21"/>
          <w:highlight w:val="none"/>
        </w:rPr>
      </w:pPr>
      <w:r>
        <w:rPr>
          <w:rFonts w:hint="eastAsia" w:ascii="宋体" w:hAnsi="宋体"/>
          <w:szCs w:val="21"/>
          <w:highlight w:val="none"/>
        </w:rPr>
        <w:t>6、乙方承诺对甲方调查和审计的内容进行保密，在未经甲方允许的情况下，乙方不得就调查事件对外发表言论。乙方更不得应除甲方外的第三人要求出庭作证（法院采取强制措施要求出庭除外）。</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五、违约责任</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若乙方违反本协议任一约定的，乙方同意按不正当利益的十倍，或上一年度（即从甲方发现乙方违反本协议约定之日起的前12个月）交易金额的20%向甲方支付赔偿金，但是最低不少于10万元（大写：人民币壹拾万元整）。甲方及其关联企业有权直接从应付给乙方的款项中扣除上述赔偿金。</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2、若乙方违反本协议任一约定的，则甲方及其关联企业有权解除与乙方的相关交易协议，纳入瑞纳集团黑名单且不承担任何责任。</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3、乙方基于本协议约定承担的违约责任，并不影响乙方依相关具体交易协议而应承担的责任。 </w:t>
      </w:r>
    </w:p>
    <w:p>
      <w:pPr>
        <w:tabs>
          <w:tab w:val="left" w:pos="8238"/>
        </w:tabs>
        <w:adjustRightInd w:val="0"/>
        <w:snapToGrid w:val="0"/>
        <w:spacing w:line="360" w:lineRule="auto"/>
        <w:ind w:firstLine="422" w:firstLineChars="200"/>
        <w:rPr>
          <w:rFonts w:ascii="宋体" w:hAnsi="宋体"/>
          <w:szCs w:val="21"/>
          <w:highlight w:val="none"/>
          <w:u w:val="double"/>
        </w:rPr>
      </w:pPr>
      <w:r>
        <w:rPr>
          <w:rFonts w:ascii="宋体" w:hAnsi="宋体"/>
          <w:b/>
          <w:szCs w:val="21"/>
          <w:highlight w:val="none"/>
          <w:u w:val="double"/>
        </w:rPr>
        <w:t>4</w:t>
      </w:r>
      <w:r>
        <w:rPr>
          <w:rFonts w:hint="eastAsia" w:ascii="宋体" w:hAnsi="宋体"/>
          <w:b/>
          <w:szCs w:val="21"/>
          <w:highlight w:val="none"/>
          <w:u w:val="double"/>
        </w:rPr>
        <w:t>、乙方深刻理解违反廉洁合作行为的危害性，在此确认已审慎阅读本协议所有条款，认可本协议约定的赔偿金额合理，不会以任何理由向任何机构申请调整。</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六、举报方式</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乙方可通过以下方式直接向甲方举报：</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举报电话：</w:t>
      </w:r>
      <w:r>
        <w:rPr>
          <w:rFonts w:ascii="宋体" w:hAnsi="宋体"/>
          <w:szCs w:val="21"/>
          <w:highlight w:val="none"/>
        </w:rPr>
        <w:t>0551-66015190</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举报邮箱：</w:t>
      </w:r>
      <w:r>
        <w:rPr>
          <w:rFonts w:ascii="宋体" w:hAnsi="宋体"/>
          <w:szCs w:val="21"/>
          <w:highlight w:val="none"/>
        </w:rPr>
        <w:t>zhiyi@runachina</w:t>
      </w:r>
      <w:r>
        <w:rPr>
          <w:rFonts w:hint="eastAsia" w:ascii="宋体" w:hAnsi="宋体"/>
          <w:szCs w:val="21"/>
          <w:highlight w:val="none"/>
        </w:rPr>
        <w:t>.</w:t>
      </w:r>
      <w:r>
        <w:rPr>
          <w:rFonts w:ascii="宋体" w:hAnsi="宋体"/>
          <w:szCs w:val="21"/>
          <w:highlight w:val="none"/>
        </w:rPr>
        <w:t>c</w:t>
      </w:r>
      <w:r>
        <w:rPr>
          <w:rFonts w:hint="eastAsia" w:ascii="宋体" w:hAnsi="宋体"/>
          <w:szCs w:val="21"/>
          <w:highlight w:val="none"/>
        </w:rPr>
        <w:t>om</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邮寄地址：安徽长丰双凤经济开发区凤霞路东39号瑞纳公司风控与监察部（陈民健收）</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甲方可通过以下方式直接向乙方举报（以下内容乙方自愿填写）：</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举报电话：</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举报邮箱：</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其他方式：</w:t>
      </w:r>
    </w:p>
    <w:p>
      <w:pPr>
        <w:adjustRightInd w:val="0"/>
        <w:snapToGrid w:val="0"/>
        <w:spacing w:line="360" w:lineRule="auto"/>
        <w:ind w:firstLine="422" w:firstLineChars="200"/>
        <w:rPr>
          <w:rFonts w:ascii="宋体" w:hAnsi="宋体"/>
          <w:b/>
          <w:szCs w:val="21"/>
          <w:highlight w:val="none"/>
        </w:rPr>
      </w:pPr>
      <w:r>
        <w:rPr>
          <w:rFonts w:hint="eastAsia" w:ascii="宋体" w:hAnsi="宋体"/>
          <w:b/>
          <w:szCs w:val="21"/>
          <w:highlight w:val="none"/>
        </w:rPr>
        <w:t>七、其它约定</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1、本协议自双方签章之日起生效，其效力追溯至双方合作开始之日，不因双方业务合作终止、合同终止或解除而失效。</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2、本协议独立于双方之间因具体业务所签订的合作或业务协议，不因合作或业务协议的无效、终止、解除而无效、终止、解除。双方合作或业务协议的相关约定与本协议约定不一致的，以本协议为准。</w:t>
      </w:r>
    </w:p>
    <w:p>
      <w:pP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3、双方应协商解决因本协议导致的争议，协商不成，提交甲方所在地人民法院裁决。</w:t>
      </w: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4、本协议书一式三份，甲方执两份、乙方执一份，具有同等法律效力。</w:t>
      </w: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p>
    <w:p>
      <w:pPr>
        <w:pBdr>
          <w:bottom w:val="single" w:color="auto" w:sz="6" w:space="8"/>
        </w:pBdr>
        <w:tabs>
          <w:tab w:val="left" w:pos="8238"/>
        </w:tabs>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w:t>
      </w:r>
    </w:p>
    <w:p>
      <w:pPr>
        <w:adjustRightInd w:val="0"/>
        <w:snapToGrid w:val="0"/>
        <w:spacing w:line="360" w:lineRule="auto"/>
        <w:rPr>
          <w:rFonts w:ascii="宋体" w:hAnsi="宋体"/>
          <w:szCs w:val="21"/>
          <w:highlight w:val="none"/>
        </w:rPr>
      </w:pPr>
      <w:r>
        <w:rPr>
          <w:rFonts w:hint="eastAsia" w:ascii="宋体" w:hAnsi="宋体"/>
          <w:szCs w:val="21"/>
          <w:highlight w:val="none"/>
        </w:rPr>
        <w:t>以下无正文。</w:t>
      </w:r>
    </w:p>
    <w:p>
      <w:pPr>
        <w:spacing w:line="360" w:lineRule="auto"/>
        <w:rPr>
          <w:highlight w:val="none"/>
        </w:rPr>
      </w:pPr>
    </w:p>
    <w:tbl>
      <w:tblPr>
        <w:tblStyle w:val="20"/>
        <w:tblW w:w="9854" w:type="dxa"/>
        <w:tblInd w:w="108" w:type="dxa"/>
        <w:tblLayout w:type="autofit"/>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c>
          <w:tcPr>
            <w:tcW w:w="4927" w:type="dxa"/>
            <w:shd w:val="clear" w:color="auto" w:fill="auto"/>
          </w:tcPr>
          <w:p>
            <w:pPr>
              <w:adjustRightInd w:val="0"/>
              <w:snapToGrid w:val="0"/>
              <w:spacing w:line="360" w:lineRule="auto"/>
              <w:rPr>
                <w:rFonts w:ascii="宋体" w:hAnsi="宋体"/>
                <w:szCs w:val="21"/>
                <w:highlight w:val="none"/>
              </w:rPr>
            </w:pPr>
            <w:r>
              <w:rPr>
                <w:rFonts w:hint="eastAsia" w:ascii="宋体" w:hAnsi="宋体"/>
                <w:szCs w:val="21"/>
                <w:highlight w:val="none"/>
              </w:rPr>
              <w:t>甲方：</w:t>
            </w:r>
            <w:r>
              <w:rPr>
                <w:rFonts w:ascii="宋体" w:hAnsi="宋体"/>
                <w:szCs w:val="21"/>
                <w:highlight w:val="none"/>
              </w:rPr>
              <w:t xml:space="preserve"> </w:t>
            </w: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授权代表：</w:t>
            </w: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日期：</w:t>
            </w:r>
          </w:p>
          <w:p>
            <w:pPr>
              <w:adjustRightInd w:val="0"/>
              <w:snapToGrid w:val="0"/>
              <w:spacing w:line="360" w:lineRule="auto"/>
              <w:jc w:val="center"/>
              <w:rPr>
                <w:rFonts w:ascii="宋体" w:hAnsi="宋体"/>
                <w:sz w:val="36"/>
                <w:szCs w:val="36"/>
                <w:highlight w:val="none"/>
              </w:rPr>
            </w:pPr>
          </w:p>
        </w:tc>
        <w:tc>
          <w:tcPr>
            <w:tcW w:w="4927" w:type="dxa"/>
            <w:shd w:val="clear" w:color="auto" w:fill="auto"/>
          </w:tcPr>
          <w:p>
            <w:pPr>
              <w:adjustRightInd w:val="0"/>
              <w:snapToGrid w:val="0"/>
              <w:spacing w:line="360" w:lineRule="auto"/>
              <w:rPr>
                <w:rFonts w:ascii="宋体" w:hAnsi="宋体"/>
                <w:b/>
                <w:bCs/>
                <w:szCs w:val="21"/>
                <w:highlight w:val="none"/>
              </w:rPr>
            </w:pPr>
            <w:r>
              <w:rPr>
                <w:rFonts w:hint="eastAsia" w:ascii="宋体" w:hAnsi="宋体"/>
                <w:szCs w:val="21"/>
                <w:highlight w:val="none"/>
              </w:rPr>
              <w:t>乙方：</w:t>
            </w:r>
          </w:p>
          <w:p>
            <w:pPr>
              <w:adjustRightInd w:val="0"/>
              <w:snapToGrid w:val="0"/>
              <w:spacing w:line="360" w:lineRule="auto"/>
              <w:rPr>
                <w:rFonts w:ascii="宋体" w:hAnsi="宋体"/>
                <w:szCs w:val="21"/>
                <w:highlight w:val="none"/>
              </w:rPr>
            </w:pPr>
            <w:r>
              <w:rPr>
                <w:rFonts w:ascii="宋体" w:hAnsi="宋体"/>
                <w:szCs w:val="21"/>
                <w:highlight w:val="non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授权代表：</w:t>
            </w: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日期：</w:t>
            </w:r>
          </w:p>
          <w:p>
            <w:pPr>
              <w:adjustRightInd w:val="0"/>
              <w:snapToGrid w:val="0"/>
              <w:spacing w:line="360" w:lineRule="auto"/>
              <w:rPr>
                <w:rFonts w:ascii="宋体" w:hAnsi="宋体"/>
                <w:szCs w:val="21"/>
                <w:highlight w:val="none"/>
              </w:rPr>
            </w:pPr>
          </w:p>
        </w:tc>
      </w:tr>
    </w:tbl>
    <w:p>
      <w:pPr>
        <w:spacing w:line="360" w:lineRule="auto"/>
        <w:rPr>
          <w:highlight w:val="none"/>
        </w:rPr>
      </w:pPr>
    </w:p>
    <w:p>
      <w:pPr>
        <w:spacing w:line="360" w:lineRule="auto"/>
        <w:rPr>
          <w:rFonts w:asciiTheme="minorEastAsia" w:hAnsiTheme="minorEastAsia"/>
          <w:szCs w:val="21"/>
          <w:highlight w:val="none"/>
        </w:rPr>
      </w:pPr>
    </w:p>
    <w:p>
      <w:pPr>
        <w:spacing w:line="360" w:lineRule="auto"/>
        <w:rPr>
          <w:rFonts w:ascii="宋体" w:hAnsi="宋体"/>
          <w:highlight w:val="none"/>
        </w:rPr>
      </w:pPr>
      <w:r>
        <w:rPr>
          <w:rFonts w:hint="eastAsia" w:ascii="宋体" w:hAnsi="宋体"/>
          <w:highlight w:val="none"/>
        </w:rPr>
        <w:t xml:space="preserve"> </w:t>
      </w:r>
    </w:p>
    <w:p>
      <w:pPr>
        <w:spacing w:line="360" w:lineRule="auto"/>
        <w:rPr>
          <w:rFonts w:ascii="宋体" w:hAnsi="宋体"/>
          <w:b/>
          <w:bCs/>
          <w:sz w:val="28"/>
          <w:szCs w:val="28"/>
          <w:highlight w:val="none"/>
        </w:rPr>
      </w:pPr>
      <w:r>
        <w:rPr>
          <w:rFonts w:hint="eastAsia" w:ascii="宋体" w:hAnsi="宋体"/>
          <w:b/>
          <w:bCs/>
          <w:sz w:val="28"/>
          <w:szCs w:val="28"/>
          <w:highlight w:val="none"/>
        </w:rPr>
        <w:t xml:space="preserve">          </w:t>
      </w:r>
    </w:p>
    <w:p>
      <w:pPr>
        <w:spacing w:line="360" w:lineRule="auto"/>
        <w:rPr>
          <w:rFonts w:ascii="宋体" w:hAnsi="宋体"/>
          <w:szCs w:val="21"/>
          <w:highlight w:val="none"/>
        </w:rPr>
      </w:pPr>
      <w:r>
        <w:rPr>
          <w:rFonts w:hint="eastAsia" w:ascii="宋体" w:hAnsi="宋体"/>
          <w:highlight w:val="none"/>
        </w:rPr>
        <w:t xml:space="preserve"> </w:t>
      </w:r>
    </w:p>
    <w:p>
      <w:pPr>
        <w:spacing w:line="360" w:lineRule="auto"/>
        <w:rPr>
          <w:rFonts w:ascii="宋体" w:hAnsi="宋体"/>
          <w:b/>
          <w:bCs/>
          <w:sz w:val="28"/>
          <w:szCs w:val="28"/>
          <w:highlight w:val="none"/>
        </w:rPr>
      </w:pPr>
      <w:r>
        <w:rPr>
          <w:rFonts w:hint="eastAsia" w:ascii="宋体" w:hAnsi="宋体"/>
          <w:b/>
          <w:bCs/>
          <w:sz w:val="28"/>
          <w:szCs w:val="28"/>
          <w:highlight w:val="none"/>
        </w:rPr>
        <w:t xml:space="preserve"> </w:t>
      </w:r>
    </w:p>
    <w:p>
      <w:pPr>
        <w:spacing w:line="360" w:lineRule="auto"/>
        <w:ind w:firstLine="420" w:firstLineChars="200"/>
        <w:rPr>
          <w:rFonts w:ascii="Times New Roman" w:hAnsi="Times New Roman" w:eastAsia="宋体" w:cs="Times New Roman"/>
          <w:szCs w:val="21"/>
          <w:highlight w:val="none"/>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75FEC31-A121-4DBC-9343-A88529E6CFF3}"/>
  </w:font>
  <w:font w:name="黑体">
    <w:panose1 w:val="02010609060101010101"/>
    <w:charset w:val="86"/>
    <w:family w:val="auto"/>
    <w:pitch w:val="default"/>
    <w:sig w:usb0="800002BF" w:usb1="38CF7CFA" w:usb2="00000016" w:usb3="00000000" w:csb0="00040001" w:csb1="00000000"/>
    <w:embedRegular r:id="rId2" w:fontKey="{A167A662-4C9F-4103-995B-9A85CB34B5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4D363ADF-0839-4C3E-B32C-A41D3C61F5A6}"/>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embedRegular r:id="rId4" w:fontKey="{8BB45C58-AD2E-49EB-8D35-D63FC2CE8C11}"/>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embedRegular r:id="rId5" w:fontKey="{AA9B0892-6745-4926-8757-D871F34EB4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23</w:t>
                          </w:r>
                          <w:r>
                            <w:rPr>
                              <w:rFonts w:hint="eastAsia" w:ascii="宋体" w:hAnsi="宋体" w:eastAsia="宋体" w:cs="宋体"/>
                            </w:rPr>
                            <w:fldChar w:fldCharType="end"/>
                          </w:r>
                          <w:r>
                            <w:rPr>
                              <w:rFonts w:hint="eastAsia" w:ascii="宋体" w:hAnsi="宋体" w:eastAsia="宋体" w:cs="宋体"/>
                            </w:rPr>
                            <w:t xml:space="preserve"> 页 共77页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rPr>
                        <w:rFonts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23</w:t>
                    </w:r>
                    <w:r>
                      <w:rPr>
                        <w:rFonts w:hint="eastAsia" w:ascii="宋体" w:hAnsi="宋体" w:eastAsia="宋体" w:cs="宋体"/>
                      </w:rPr>
                      <w:fldChar w:fldCharType="end"/>
                    </w:r>
                    <w:r>
                      <w:rPr>
                        <w:rFonts w:hint="eastAsia" w:ascii="宋体" w:hAnsi="宋体" w:eastAsia="宋体" w:cs="宋体"/>
                      </w:rPr>
                      <w:t xml:space="preserve"> 页 共77页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w:rPr>
        <w:rFonts w:hint="eastAsia"/>
      </w:rPr>
      <w:t>R</w:t>
    </w:r>
    <w:r>
      <w:t>NC029-</w:t>
    </w:r>
    <w:r>
      <w:rPr>
        <w:rFonts w:ascii="黑体" w:hAnsi="黑体" w:eastAsia="黑体" w:cs="黑体"/>
        <w:szCs w:val="21"/>
      </w:rPr>
      <w:t>B</w:t>
    </w:r>
    <w:r>
      <w:rPr>
        <w:rFonts w:ascii="黑体" w:hAnsi="黑体" w:eastAsia="黑体" w:cs="黑体"/>
        <w:sz w:val="30"/>
        <w:szCs w:val="30"/>
        <w:vertAlign w:val="subscript"/>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rPr>
        <w:rFonts w:asciiTheme="minorEastAsia" w:hAnsiTheme="minorEastAsia" w:cstheme="minorEastAsia"/>
        <w:szCs w:val="21"/>
      </w:rPr>
    </w:pPr>
    <w:r>
      <w:rPr>
        <w:rFonts w:hint="eastAsia" w:asciiTheme="minorEastAsia" w:hAnsiTheme="minorEastAsia" w:cstheme="minorEastAsia"/>
        <w:szCs w:val="21"/>
      </w:rPr>
      <w:t>RNB2024003-A</w:t>
    </w:r>
    <w:r>
      <w:rPr>
        <w:rFonts w:hint="eastAsia" w:asciiTheme="minorEastAsia" w:hAnsiTheme="minorEastAsia" w:cstheme="minorEastAsia"/>
        <w:szCs w:val="21"/>
        <w:vertAlign w:val="subscript"/>
      </w:rPr>
      <w:t>0</w:t>
    </w:r>
  </w:p>
  <w:p>
    <w:pPr>
      <w:jc w:val="right"/>
      <w:rPr>
        <w:rFonts w:asciiTheme="minorEastAsia" w:hAnsiTheme="minorEastAsia" w:cstheme="minorEastAsia"/>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EE63D"/>
    <w:multiLevelType w:val="singleLevel"/>
    <w:tmpl w:val="875EE63D"/>
    <w:lvl w:ilvl="0" w:tentative="0">
      <w:start w:val="1"/>
      <w:numFmt w:val="decimal"/>
      <w:lvlText w:val="%1)"/>
      <w:lvlJc w:val="left"/>
      <w:pPr>
        <w:ind w:left="425" w:hanging="425"/>
      </w:pPr>
      <w:rPr>
        <w:rFonts w:hint="default"/>
      </w:rPr>
    </w:lvl>
  </w:abstractNum>
  <w:abstractNum w:abstractNumId="1">
    <w:nsid w:val="879326DA"/>
    <w:multiLevelType w:val="singleLevel"/>
    <w:tmpl w:val="879326DA"/>
    <w:lvl w:ilvl="0" w:tentative="0">
      <w:start w:val="1"/>
      <w:numFmt w:val="decimal"/>
      <w:lvlText w:val="%1)"/>
      <w:lvlJc w:val="left"/>
      <w:pPr>
        <w:ind w:left="425" w:hanging="425"/>
      </w:pPr>
      <w:rPr>
        <w:rFonts w:hint="default"/>
      </w:rPr>
    </w:lvl>
  </w:abstractNum>
  <w:abstractNum w:abstractNumId="2">
    <w:nsid w:val="9109A1FA"/>
    <w:multiLevelType w:val="singleLevel"/>
    <w:tmpl w:val="9109A1FA"/>
    <w:lvl w:ilvl="0" w:tentative="0">
      <w:start w:val="1"/>
      <w:numFmt w:val="decimal"/>
      <w:lvlText w:val="(%1)"/>
      <w:lvlJc w:val="left"/>
      <w:pPr>
        <w:ind w:left="425" w:hanging="425"/>
      </w:pPr>
      <w:rPr>
        <w:rFonts w:hint="default"/>
      </w:rPr>
    </w:lvl>
  </w:abstractNum>
  <w:abstractNum w:abstractNumId="3">
    <w:nsid w:val="99CEAF2F"/>
    <w:multiLevelType w:val="singleLevel"/>
    <w:tmpl w:val="99CEAF2F"/>
    <w:lvl w:ilvl="0" w:tentative="0">
      <w:start w:val="4"/>
      <w:numFmt w:val="chineseCounting"/>
      <w:suff w:val="nothing"/>
      <w:lvlText w:val="%1）"/>
      <w:lvlJc w:val="left"/>
      <w:rPr>
        <w:rFonts w:hint="eastAsia"/>
      </w:rPr>
    </w:lvl>
  </w:abstractNum>
  <w:abstractNum w:abstractNumId="4">
    <w:nsid w:val="A32AB75B"/>
    <w:multiLevelType w:val="singleLevel"/>
    <w:tmpl w:val="A32AB75B"/>
    <w:lvl w:ilvl="0" w:tentative="0">
      <w:start w:val="1"/>
      <w:numFmt w:val="decimal"/>
      <w:lvlText w:val="(%1)"/>
      <w:lvlJc w:val="left"/>
      <w:pPr>
        <w:ind w:left="425" w:hanging="425"/>
      </w:pPr>
      <w:rPr>
        <w:rFonts w:hint="default"/>
      </w:rPr>
    </w:lvl>
  </w:abstractNum>
  <w:abstractNum w:abstractNumId="5">
    <w:nsid w:val="BA0FD802"/>
    <w:multiLevelType w:val="singleLevel"/>
    <w:tmpl w:val="BA0FD802"/>
    <w:lvl w:ilvl="0" w:tentative="0">
      <w:start w:val="4"/>
      <w:numFmt w:val="decimal"/>
      <w:lvlText w:val="(%1)"/>
      <w:lvlJc w:val="left"/>
      <w:pPr>
        <w:ind w:left="425" w:hanging="425"/>
      </w:pPr>
      <w:rPr>
        <w:rFonts w:hint="default"/>
      </w:rPr>
    </w:lvl>
  </w:abstractNum>
  <w:abstractNum w:abstractNumId="6">
    <w:nsid w:val="C5471221"/>
    <w:multiLevelType w:val="singleLevel"/>
    <w:tmpl w:val="C5471221"/>
    <w:lvl w:ilvl="0" w:tentative="0">
      <w:start w:val="1"/>
      <w:numFmt w:val="decimal"/>
      <w:lvlText w:val="(%1)"/>
      <w:lvlJc w:val="left"/>
      <w:pPr>
        <w:ind w:left="425" w:hanging="425"/>
      </w:pPr>
      <w:rPr>
        <w:rFonts w:hint="default"/>
      </w:rPr>
    </w:lvl>
  </w:abstractNum>
  <w:abstractNum w:abstractNumId="7">
    <w:nsid w:val="E207F322"/>
    <w:multiLevelType w:val="singleLevel"/>
    <w:tmpl w:val="E207F322"/>
    <w:lvl w:ilvl="0" w:tentative="0">
      <w:start w:val="1"/>
      <w:numFmt w:val="decimal"/>
      <w:suff w:val="space"/>
      <w:lvlText w:val="%1."/>
      <w:lvlJc w:val="left"/>
    </w:lvl>
  </w:abstractNum>
  <w:abstractNum w:abstractNumId="8">
    <w:nsid w:val="E62F321B"/>
    <w:multiLevelType w:val="singleLevel"/>
    <w:tmpl w:val="E62F321B"/>
    <w:lvl w:ilvl="0" w:tentative="0">
      <w:start w:val="1"/>
      <w:numFmt w:val="decimal"/>
      <w:lvlText w:val="(%1)"/>
      <w:lvlJc w:val="left"/>
      <w:pPr>
        <w:ind w:left="425" w:hanging="425"/>
      </w:pPr>
      <w:rPr>
        <w:rFonts w:hint="default"/>
      </w:rPr>
    </w:lvl>
  </w:abstractNum>
  <w:abstractNum w:abstractNumId="9">
    <w:nsid w:val="F59997BE"/>
    <w:multiLevelType w:val="singleLevel"/>
    <w:tmpl w:val="F59997BE"/>
    <w:lvl w:ilvl="0" w:tentative="0">
      <w:start w:val="1"/>
      <w:numFmt w:val="chineseCounting"/>
      <w:suff w:val="nothing"/>
      <w:lvlText w:val="（%1）"/>
      <w:lvlJc w:val="left"/>
      <w:rPr>
        <w:rFonts w:hint="eastAsia"/>
      </w:rPr>
    </w:lvl>
  </w:abstractNum>
  <w:abstractNum w:abstractNumId="10">
    <w:nsid w:val="F7C3F263"/>
    <w:multiLevelType w:val="singleLevel"/>
    <w:tmpl w:val="F7C3F263"/>
    <w:lvl w:ilvl="0" w:tentative="0">
      <w:start w:val="1"/>
      <w:numFmt w:val="decimal"/>
      <w:lvlText w:val="(%1)"/>
      <w:lvlJc w:val="left"/>
      <w:pPr>
        <w:ind w:left="425" w:hanging="425"/>
      </w:pPr>
      <w:rPr>
        <w:rFonts w:hint="default"/>
      </w:rPr>
    </w:lvl>
  </w:abstractNum>
  <w:abstractNum w:abstractNumId="11">
    <w:nsid w:val="FC79D2DE"/>
    <w:multiLevelType w:val="singleLevel"/>
    <w:tmpl w:val="FC79D2DE"/>
    <w:lvl w:ilvl="0" w:tentative="0">
      <w:start w:val="1"/>
      <w:numFmt w:val="bullet"/>
      <w:lvlText w:val=""/>
      <w:lvlJc w:val="left"/>
      <w:pPr>
        <w:ind w:left="420" w:hanging="420"/>
      </w:pPr>
      <w:rPr>
        <w:rFonts w:hint="default" w:ascii="Wingdings" w:hAnsi="Wingdings"/>
      </w:rPr>
    </w:lvl>
  </w:abstractNum>
  <w:abstractNum w:abstractNumId="12">
    <w:nsid w:val="006F3E58"/>
    <w:multiLevelType w:val="multilevel"/>
    <w:tmpl w:val="006F3E5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223328B"/>
    <w:multiLevelType w:val="multilevel"/>
    <w:tmpl w:val="0223328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5F77EF1"/>
    <w:multiLevelType w:val="singleLevel"/>
    <w:tmpl w:val="05F77EF1"/>
    <w:lvl w:ilvl="0" w:tentative="0">
      <w:start w:val="1"/>
      <w:numFmt w:val="decimal"/>
      <w:lvlText w:val="(%1)"/>
      <w:lvlJc w:val="left"/>
      <w:pPr>
        <w:ind w:left="425" w:hanging="425"/>
      </w:pPr>
      <w:rPr>
        <w:rFonts w:hint="default"/>
      </w:rPr>
    </w:lvl>
  </w:abstractNum>
  <w:abstractNum w:abstractNumId="15">
    <w:nsid w:val="0E3C37D7"/>
    <w:multiLevelType w:val="multilevel"/>
    <w:tmpl w:val="0E3C37D7"/>
    <w:lvl w:ilvl="0" w:tentative="0">
      <w:start w:val="1"/>
      <w:numFmt w:val="decimal"/>
      <w:lvlText w:val="%1."/>
      <w:lvlJc w:val="left"/>
      <w:pPr>
        <w:ind w:left="360" w:hanging="360"/>
      </w:pPr>
      <w:rPr>
        <w:rFonts w:hint="default"/>
        <w:w w:val="100"/>
        <w:lang w:val="en-US" w:eastAsia="zh-CN" w:bidi="ar-SA"/>
      </w:rPr>
    </w:lvl>
    <w:lvl w:ilvl="1" w:tentative="0">
      <w:start w:val="1"/>
      <w:numFmt w:val="decimal"/>
      <w:lvlText w:val="%2."/>
      <w:lvlJc w:val="left"/>
      <w:pPr>
        <w:ind w:left="942" w:hanging="420"/>
      </w:pPr>
      <w:rPr>
        <w:rFonts w:hint="default" w:ascii="宋体" w:hAnsi="宋体" w:eastAsia="宋体" w:cs="宋体"/>
        <w:w w:val="100"/>
        <w:sz w:val="19"/>
        <w:szCs w:val="19"/>
        <w:lang w:val="en-US" w:eastAsia="zh-CN" w:bidi="ar-SA"/>
      </w:rPr>
    </w:lvl>
    <w:lvl w:ilvl="2" w:tentative="0">
      <w:start w:val="0"/>
      <w:numFmt w:val="bullet"/>
      <w:lvlText w:val="•"/>
      <w:lvlJc w:val="left"/>
      <w:pPr>
        <w:ind w:left="1827" w:hanging="420"/>
      </w:pPr>
      <w:rPr>
        <w:rFonts w:hint="default"/>
        <w:lang w:val="en-US" w:eastAsia="zh-CN" w:bidi="ar-SA"/>
      </w:rPr>
    </w:lvl>
    <w:lvl w:ilvl="3" w:tentative="0">
      <w:start w:val="0"/>
      <w:numFmt w:val="bullet"/>
      <w:lvlText w:val="•"/>
      <w:lvlJc w:val="left"/>
      <w:pPr>
        <w:ind w:left="2714" w:hanging="420"/>
      </w:pPr>
      <w:rPr>
        <w:rFonts w:hint="default"/>
        <w:lang w:val="en-US" w:eastAsia="zh-CN" w:bidi="ar-SA"/>
      </w:rPr>
    </w:lvl>
    <w:lvl w:ilvl="4" w:tentative="0">
      <w:start w:val="0"/>
      <w:numFmt w:val="bullet"/>
      <w:lvlText w:val="•"/>
      <w:lvlJc w:val="left"/>
      <w:pPr>
        <w:ind w:left="3602" w:hanging="420"/>
      </w:pPr>
      <w:rPr>
        <w:rFonts w:hint="default"/>
        <w:lang w:val="en-US" w:eastAsia="zh-CN" w:bidi="ar-SA"/>
      </w:rPr>
    </w:lvl>
    <w:lvl w:ilvl="5" w:tentative="0">
      <w:start w:val="0"/>
      <w:numFmt w:val="bullet"/>
      <w:lvlText w:val="•"/>
      <w:lvlJc w:val="left"/>
      <w:pPr>
        <w:ind w:left="4489" w:hanging="420"/>
      </w:pPr>
      <w:rPr>
        <w:rFonts w:hint="default"/>
        <w:lang w:val="en-US" w:eastAsia="zh-CN" w:bidi="ar-SA"/>
      </w:rPr>
    </w:lvl>
    <w:lvl w:ilvl="6" w:tentative="0">
      <w:start w:val="0"/>
      <w:numFmt w:val="bullet"/>
      <w:lvlText w:val="•"/>
      <w:lvlJc w:val="left"/>
      <w:pPr>
        <w:ind w:left="5376" w:hanging="420"/>
      </w:pPr>
      <w:rPr>
        <w:rFonts w:hint="default"/>
        <w:lang w:val="en-US" w:eastAsia="zh-CN" w:bidi="ar-SA"/>
      </w:rPr>
    </w:lvl>
    <w:lvl w:ilvl="7" w:tentative="0">
      <w:start w:val="0"/>
      <w:numFmt w:val="bullet"/>
      <w:lvlText w:val="•"/>
      <w:lvlJc w:val="left"/>
      <w:pPr>
        <w:ind w:left="6264" w:hanging="420"/>
      </w:pPr>
      <w:rPr>
        <w:rFonts w:hint="default"/>
        <w:lang w:val="en-US" w:eastAsia="zh-CN" w:bidi="ar-SA"/>
      </w:rPr>
    </w:lvl>
    <w:lvl w:ilvl="8" w:tentative="0">
      <w:start w:val="0"/>
      <w:numFmt w:val="bullet"/>
      <w:lvlText w:val="•"/>
      <w:lvlJc w:val="left"/>
      <w:pPr>
        <w:ind w:left="7151" w:hanging="420"/>
      </w:pPr>
      <w:rPr>
        <w:rFonts w:hint="default"/>
        <w:lang w:val="en-US" w:eastAsia="zh-CN" w:bidi="ar-SA"/>
      </w:rPr>
    </w:lvl>
  </w:abstractNum>
  <w:abstractNum w:abstractNumId="16">
    <w:nsid w:val="15F9132A"/>
    <w:multiLevelType w:val="multilevel"/>
    <w:tmpl w:val="15F9132A"/>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7">
    <w:nsid w:val="180077CD"/>
    <w:multiLevelType w:val="multilevel"/>
    <w:tmpl w:val="180077CD"/>
    <w:lvl w:ilvl="0" w:tentative="0">
      <w:start w:val="1"/>
      <w:numFmt w:val="japaneseCounting"/>
      <w:lvlText w:val="%1、"/>
      <w:lvlJc w:val="left"/>
      <w:pPr>
        <w:ind w:left="480" w:hanging="480"/>
      </w:pPr>
      <w:rPr>
        <w:rFonts w:hint="default" w:cs="Times New Roman" w:asciiTheme="minorEastAsia" w:hAnsiTheme="minorEastAsia" w:eastAsiaTheme="minor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ABC5901"/>
    <w:multiLevelType w:val="multilevel"/>
    <w:tmpl w:val="1ABC5901"/>
    <w:lvl w:ilvl="0" w:tentative="0">
      <w:start w:val="1"/>
      <w:numFmt w:val="decimal"/>
      <w:lvlText w:val="%1、"/>
      <w:lvlJc w:val="left"/>
      <w:pPr>
        <w:ind w:left="786"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32224B3"/>
    <w:multiLevelType w:val="singleLevel"/>
    <w:tmpl w:val="232224B3"/>
    <w:lvl w:ilvl="0" w:tentative="0">
      <w:start w:val="1"/>
      <w:numFmt w:val="decimal"/>
      <w:lvlText w:val="(%1)"/>
      <w:lvlJc w:val="left"/>
      <w:pPr>
        <w:ind w:left="425" w:hanging="425"/>
      </w:pPr>
      <w:rPr>
        <w:rFonts w:hint="default"/>
      </w:rPr>
    </w:lvl>
  </w:abstractNum>
  <w:abstractNum w:abstractNumId="20">
    <w:nsid w:val="2795EFC7"/>
    <w:multiLevelType w:val="singleLevel"/>
    <w:tmpl w:val="2795EFC7"/>
    <w:lvl w:ilvl="0" w:tentative="0">
      <w:start w:val="1"/>
      <w:numFmt w:val="decimal"/>
      <w:lvlText w:val="(%1)"/>
      <w:lvlJc w:val="left"/>
      <w:pPr>
        <w:ind w:left="425" w:hanging="425"/>
      </w:pPr>
      <w:rPr>
        <w:rFonts w:hint="default"/>
      </w:rPr>
    </w:lvl>
  </w:abstractNum>
  <w:abstractNum w:abstractNumId="21">
    <w:nsid w:val="2C60444B"/>
    <w:multiLevelType w:val="singleLevel"/>
    <w:tmpl w:val="2C60444B"/>
    <w:lvl w:ilvl="0" w:tentative="0">
      <w:start w:val="1"/>
      <w:numFmt w:val="decimal"/>
      <w:lvlText w:val="(%1)"/>
      <w:lvlJc w:val="left"/>
      <w:pPr>
        <w:ind w:left="425" w:hanging="425"/>
      </w:pPr>
      <w:rPr>
        <w:rFonts w:hint="default"/>
      </w:rPr>
    </w:lvl>
  </w:abstractNum>
  <w:abstractNum w:abstractNumId="22">
    <w:nsid w:val="2CA73099"/>
    <w:multiLevelType w:val="multilevel"/>
    <w:tmpl w:val="2CA73099"/>
    <w:lvl w:ilvl="0" w:tentative="0">
      <w:start w:val="1"/>
      <w:numFmt w:val="lowerLetter"/>
      <w:lvlText w:val="%1．"/>
      <w:lvlJc w:val="left"/>
      <w:pPr>
        <w:ind w:left="1413" w:hanging="420"/>
      </w:pPr>
      <w:rPr>
        <w:rFonts w:hint="eastAsia" w:ascii="宋体" w:hAnsi="宋体" w:eastAsia="宋体"/>
        <w:b w:val="0"/>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3">
    <w:nsid w:val="30B97363"/>
    <w:multiLevelType w:val="multilevel"/>
    <w:tmpl w:val="30B9736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A0A4F5D"/>
    <w:multiLevelType w:val="multilevel"/>
    <w:tmpl w:val="3A0A4F5D"/>
    <w:lvl w:ilvl="0" w:tentative="0">
      <w:start w:val="1"/>
      <w:numFmt w:val="decimal"/>
      <w:lvlText w:val="%1)"/>
      <w:lvlJc w:val="left"/>
      <w:pPr>
        <w:ind w:left="420" w:hanging="420"/>
      </w:pPr>
      <w:rPr>
        <w:rFonts w:hint="eastAsia"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ECF3DA3"/>
    <w:multiLevelType w:val="multilevel"/>
    <w:tmpl w:val="3ECF3DA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60207DF"/>
    <w:multiLevelType w:val="multilevel"/>
    <w:tmpl w:val="460207DF"/>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221761B"/>
    <w:multiLevelType w:val="singleLevel"/>
    <w:tmpl w:val="5221761B"/>
    <w:lvl w:ilvl="0" w:tentative="0">
      <w:start w:val="1"/>
      <w:numFmt w:val="decimal"/>
      <w:lvlText w:val="(%1)"/>
      <w:lvlJc w:val="left"/>
      <w:pPr>
        <w:ind w:left="425" w:hanging="425"/>
      </w:pPr>
      <w:rPr>
        <w:rFonts w:hint="default"/>
      </w:rPr>
    </w:lvl>
  </w:abstractNum>
  <w:abstractNum w:abstractNumId="28">
    <w:nsid w:val="56EC6CB0"/>
    <w:multiLevelType w:val="singleLevel"/>
    <w:tmpl w:val="56EC6CB0"/>
    <w:lvl w:ilvl="0" w:tentative="0">
      <w:start w:val="1"/>
      <w:numFmt w:val="decimal"/>
      <w:suff w:val="space"/>
      <w:lvlText w:val="(%1)"/>
      <w:lvlJc w:val="left"/>
    </w:lvl>
  </w:abstractNum>
  <w:abstractNum w:abstractNumId="29">
    <w:nsid w:val="5E8554F5"/>
    <w:multiLevelType w:val="multilevel"/>
    <w:tmpl w:val="5E8554F5"/>
    <w:lvl w:ilvl="0" w:tentative="0">
      <w:start w:val="1"/>
      <w:numFmt w:val="decimal"/>
      <w:lvlText w:val="%1)"/>
      <w:lvlJc w:val="left"/>
      <w:pPr>
        <w:ind w:left="1160" w:hanging="440"/>
      </w:pPr>
    </w:lvl>
    <w:lvl w:ilvl="1" w:tentative="0">
      <w:start w:val="1"/>
      <w:numFmt w:val="decimal"/>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abstractNum w:abstractNumId="30">
    <w:nsid w:val="610D09C0"/>
    <w:multiLevelType w:val="multilevel"/>
    <w:tmpl w:val="610D09C0"/>
    <w:lvl w:ilvl="0" w:tentative="0">
      <w:start w:val="1"/>
      <w:numFmt w:val="decimal"/>
      <w:lvlText w:val="%1."/>
      <w:lvlJc w:val="left"/>
      <w:pPr>
        <w:ind w:left="638" w:hanging="213"/>
      </w:pPr>
      <w:rPr>
        <w:rFonts w:ascii="宋体" w:hAnsi="宋体" w:eastAsia="宋体" w:cs="宋体"/>
        <w:w w:val="100"/>
        <w:sz w:val="19"/>
        <w:szCs w:val="19"/>
        <w:lang w:val="en-US" w:eastAsia="zh-CN" w:bidi="ar-SA"/>
      </w:rPr>
    </w:lvl>
    <w:lvl w:ilvl="1" w:tentative="0">
      <w:start w:val="0"/>
      <w:numFmt w:val="bullet"/>
      <w:lvlText w:val="•"/>
      <w:lvlJc w:val="left"/>
      <w:pPr>
        <w:ind w:left="1360" w:hanging="213"/>
      </w:pPr>
      <w:rPr>
        <w:rFonts w:hint="default"/>
        <w:lang w:val="en-US" w:eastAsia="zh-CN" w:bidi="ar-SA"/>
      </w:rPr>
    </w:lvl>
    <w:lvl w:ilvl="2" w:tentative="0">
      <w:start w:val="0"/>
      <w:numFmt w:val="bullet"/>
      <w:lvlText w:val="•"/>
      <w:lvlJc w:val="left"/>
      <w:pPr>
        <w:ind w:left="2201" w:hanging="213"/>
      </w:pPr>
      <w:rPr>
        <w:rFonts w:hint="default"/>
        <w:lang w:val="en-US" w:eastAsia="zh-CN" w:bidi="ar-SA"/>
      </w:rPr>
    </w:lvl>
    <w:lvl w:ilvl="3" w:tentative="0">
      <w:start w:val="0"/>
      <w:numFmt w:val="bullet"/>
      <w:lvlText w:val="•"/>
      <w:lvlJc w:val="left"/>
      <w:pPr>
        <w:ind w:left="3041" w:hanging="213"/>
      </w:pPr>
      <w:rPr>
        <w:rFonts w:hint="default"/>
        <w:lang w:val="en-US" w:eastAsia="zh-CN" w:bidi="ar-SA"/>
      </w:rPr>
    </w:lvl>
    <w:lvl w:ilvl="4" w:tentative="0">
      <w:start w:val="0"/>
      <w:numFmt w:val="bullet"/>
      <w:lvlText w:val="•"/>
      <w:lvlJc w:val="left"/>
      <w:pPr>
        <w:ind w:left="3882" w:hanging="213"/>
      </w:pPr>
      <w:rPr>
        <w:rFonts w:hint="default"/>
        <w:lang w:val="en-US" w:eastAsia="zh-CN" w:bidi="ar-SA"/>
      </w:rPr>
    </w:lvl>
    <w:lvl w:ilvl="5" w:tentative="0">
      <w:start w:val="0"/>
      <w:numFmt w:val="bullet"/>
      <w:lvlText w:val="•"/>
      <w:lvlJc w:val="left"/>
      <w:pPr>
        <w:ind w:left="4723" w:hanging="213"/>
      </w:pPr>
      <w:rPr>
        <w:rFonts w:hint="default"/>
        <w:lang w:val="en-US" w:eastAsia="zh-CN" w:bidi="ar-SA"/>
      </w:rPr>
    </w:lvl>
    <w:lvl w:ilvl="6" w:tentative="0">
      <w:start w:val="0"/>
      <w:numFmt w:val="bullet"/>
      <w:lvlText w:val="•"/>
      <w:lvlJc w:val="left"/>
      <w:pPr>
        <w:ind w:left="5563" w:hanging="213"/>
      </w:pPr>
      <w:rPr>
        <w:rFonts w:hint="default"/>
        <w:lang w:val="en-US" w:eastAsia="zh-CN" w:bidi="ar-SA"/>
      </w:rPr>
    </w:lvl>
    <w:lvl w:ilvl="7" w:tentative="0">
      <w:start w:val="0"/>
      <w:numFmt w:val="bullet"/>
      <w:lvlText w:val="•"/>
      <w:lvlJc w:val="left"/>
      <w:pPr>
        <w:ind w:left="6404" w:hanging="213"/>
      </w:pPr>
      <w:rPr>
        <w:rFonts w:hint="default"/>
        <w:lang w:val="en-US" w:eastAsia="zh-CN" w:bidi="ar-SA"/>
      </w:rPr>
    </w:lvl>
    <w:lvl w:ilvl="8" w:tentative="0">
      <w:start w:val="0"/>
      <w:numFmt w:val="bullet"/>
      <w:lvlText w:val="•"/>
      <w:lvlJc w:val="left"/>
      <w:pPr>
        <w:ind w:left="7245" w:hanging="213"/>
      </w:pPr>
      <w:rPr>
        <w:rFonts w:hint="default"/>
        <w:lang w:val="en-US" w:eastAsia="zh-CN" w:bidi="ar-SA"/>
      </w:rPr>
    </w:lvl>
  </w:abstractNum>
  <w:abstractNum w:abstractNumId="31">
    <w:nsid w:val="63DAF9A3"/>
    <w:multiLevelType w:val="singleLevel"/>
    <w:tmpl w:val="63DAF9A3"/>
    <w:lvl w:ilvl="0" w:tentative="0">
      <w:start w:val="1"/>
      <w:numFmt w:val="decimalEnclosedCircleChinese"/>
      <w:suff w:val="nothing"/>
      <w:lvlText w:val="%1　"/>
      <w:lvlJc w:val="left"/>
      <w:pPr>
        <w:ind w:left="0" w:firstLine="400"/>
      </w:pPr>
      <w:rPr>
        <w:rFonts w:hint="eastAsia"/>
      </w:rPr>
    </w:lvl>
  </w:abstractNum>
  <w:abstractNum w:abstractNumId="32">
    <w:nsid w:val="67AD466A"/>
    <w:multiLevelType w:val="singleLevel"/>
    <w:tmpl w:val="67AD466A"/>
    <w:lvl w:ilvl="0" w:tentative="0">
      <w:start w:val="1"/>
      <w:numFmt w:val="decimal"/>
      <w:lvlText w:val="(%1)"/>
      <w:lvlJc w:val="left"/>
      <w:pPr>
        <w:ind w:left="425" w:hanging="425"/>
      </w:pPr>
      <w:rPr>
        <w:rFonts w:hint="default"/>
      </w:rPr>
    </w:lvl>
  </w:abstractNum>
  <w:abstractNum w:abstractNumId="33">
    <w:nsid w:val="6B23715D"/>
    <w:multiLevelType w:val="singleLevel"/>
    <w:tmpl w:val="6B23715D"/>
    <w:lvl w:ilvl="0" w:tentative="0">
      <w:start w:val="1"/>
      <w:numFmt w:val="decimal"/>
      <w:lvlText w:val="%1)"/>
      <w:lvlJc w:val="left"/>
      <w:pPr>
        <w:ind w:left="425" w:hanging="425"/>
      </w:pPr>
      <w:rPr>
        <w:rFonts w:hint="default"/>
      </w:rPr>
    </w:lvl>
  </w:abstractNum>
  <w:abstractNum w:abstractNumId="34">
    <w:nsid w:val="76782D93"/>
    <w:multiLevelType w:val="multilevel"/>
    <w:tmpl w:val="76782D93"/>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5">
    <w:nsid w:val="77EF4F1D"/>
    <w:multiLevelType w:val="multilevel"/>
    <w:tmpl w:val="77EF4F1D"/>
    <w:lvl w:ilvl="0" w:tentative="0">
      <w:start w:val="3"/>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7CF2D9D0"/>
    <w:multiLevelType w:val="singleLevel"/>
    <w:tmpl w:val="7CF2D9D0"/>
    <w:lvl w:ilvl="0" w:tentative="0">
      <w:start w:val="5"/>
      <w:numFmt w:val="decimal"/>
      <w:lvlText w:val="%1."/>
      <w:lvlJc w:val="left"/>
      <w:pPr>
        <w:tabs>
          <w:tab w:val="left" w:pos="312"/>
        </w:tabs>
      </w:pPr>
    </w:lvl>
  </w:abstractNum>
  <w:num w:numId="1">
    <w:abstractNumId w:val="28"/>
  </w:num>
  <w:num w:numId="2">
    <w:abstractNumId w:val="36"/>
  </w:num>
  <w:num w:numId="3">
    <w:abstractNumId w:val="9"/>
  </w:num>
  <w:num w:numId="4">
    <w:abstractNumId w:val="13"/>
  </w:num>
  <w:num w:numId="5">
    <w:abstractNumId w:val="25"/>
  </w:num>
  <w:num w:numId="6">
    <w:abstractNumId w:val="12"/>
  </w:num>
  <w:num w:numId="7">
    <w:abstractNumId w:val="35"/>
  </w:num>
  <w:num w:numId="8">
    <w:abstractNumId w:val="1"/>
  </w:num>
  <w:num w:numId="9">
    <w:abstractNumId w:val="33"/>
  </w:num>
  <w:num w:numId="10">
    <w:abstractNumId w:val="0"/>
  </w:num>
  <w:num w:numId="11">
    <w:abstractNumId w:val="14"/>
  </w:num>
  <w:num w:numId="12">
    <w:abstractNumId w:val="26"/>
  </w:num>
  <w:num w:numId="13">
    <w:abstractNumId w:val="21"/>
  </w:num>
  <w:num w:numId="14">
    <w:abstractNumId w:val="6"/>
  </w:num>
  <w:num w:numId="15">
    <w:abstractNumId w:val="19"/>
  </w:num>
  <w:num w:numId="16">
    <w:abstractNumId w:val="32"/>
  </w:num>
  <w:num w:numId="17">
    <w:abstractNumId w:val="8"/>
  </w:num>
  <w:num w:numId="18">
    <w:abstractNumId w:val="31"/>
  </w:num>
  <w:num w:numId="19">
    <w:abstractNumId w:val="5"/>
  </w:num>
  <w:num w:numId="20">
    <w:abstractNumId w:val="4"/>
  </w:num>
  <w:num w:numId="21">
    <w:abstractNumId w:val="27"/>
  </w:num>
  <w:num w:numId="22">
    <w:abstractNumId w:val="11"/>
  </w:num>
  <w:num w:numId="23">
    <w:abstractNumId w:val="2"/>
  </w:num>
  <w:num w:numId="24">
    <w:abstractNumId w:val="10"/>
  </w:num>
  <w:num w:numId="25">
    <w:abstractNumId w:val="20"/>
  </w:num>
  <w:num w:numId="26">
    <w:abstractNumId w:val="29"/>
  </w:num>
  <w:num w:numId="27">
    <w:abstractNumId w:val="30"/>
  </w:num>
  <w:num w:numId="28">
    <w:abstractNumId w:val="1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17"/>
  </w:num>
  <w:num w:numId="35">
    <w:abstractNumId w:val="1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0NDY5ZWE4NTJmODgwOGIzZWMwZjZjNDliMWE0NWQifQ=="/>
    <w:docVar w:name="KSO_WPS_MARK_KEY" w:val="cbe8acfc-76c6-4943-8d61-c4ad866f2e00"/>
  </w:docVars>
  <w:rsids>
    <w:rsidRoot w:val="1808118C"/>
    <w:rsid w:val="00002968"/>
    <w:rsid w:val="00003C85"/>
    <w:rsid w:val="00014101"/>
    <w:rsid w:val="0002166D"/>
    <w:rsid w:val="00022175"/>
    <w:rsid w:val="000227C4"/>
    <w:rsid w:val="00022D4D"/>
    <w:rsid w:val="0002415F"/>
    <w:rsid w:val="000279BD"/>
    <w:rsid w:val="00040350"/>
    <w:rsid w:val="00041867"/>
    <w:rsid w:val="00043B73"/>
    <w:rsid w:val="000447D2"/>
    <w:rsid w:val="0005202D"/>
    <w:rsid w:val="000566DE"/>
    <w:rsid w:val="000612F6"/>
    <w:rsid w:val="00093E90"/>
    <w:rsid w:val="0009503A"/>
    <w:rsid w:val="000A2B43"/>
    <w:rsid w:val="000A4518"/>
    <w:rsid w:val="000B789A"/>
    <w:rsid w:val="000C0C1B"/>
    <w:rsid w:val="000C146B"/>
    <w:rsid w:val="000C74AD"/>
    <w:rsid w:val="000E50A9"/>
    <w:rsid w:val="000F078C"/>
    <w:rsid w:val="000F4620"/>
    <w:rsid w:val="00111130"/>
    <w:rsid w:val="001122B1"/>
    <w:rsid w:val="00116427"/>
    <w:rsid w:val="0012064C"/>
    <w:rsid w:val="00121912"/>
    <w:rsid w:val="0012519F"/>
    <w:rsid w:val="00127F88"/>
    <w:rsid w:val="00130916"/>
    <w:rsid w:val="00146039"/>
    <w:rsid w:val="00150C67"/>
    <w:rsid w:val="00151016"/>
    <w:rsid w:val="0016085A"/>
    <w:rsid w:val="00162AC6"/>
    <w:rsid w:val="001678DB"/>
    <w:rsid w:val="00172CAD"/>
    <w:rsid w:val="00173CA6"/>
    <w:rsid w:val="00175101"/>
    <w:rsid w:val="0017582D"/>
    <w:rsid w:val="001836BE"/>
    <w:rsid w:val="001838B4"/>
    <w:rsid w:val="00187355"/>
    <w:rsid w:val="001A2A90"/>
    <w:rsid w:val="001E79D8"/>
    <w:rsid w:val="002003CC"/>
    <w:rsid w:val="002110D9"/>
    <w:rsid w:val="00230752"/>
    <w:rsid w:val="00230EE0"/>
    <w:rsid w:val="002312CA"/>
    <w:rsid w:val="00237604"/>
    <w:rsid w:val="00253710"/>
    <w:rsid w:val="00267648"/>
    <w:rsid w:val="00275B3A"/>
    <w:rsid w:val="00275C10"/>
    <w:rsid w:val="00280C7A"/>
    <w:rsid w:val="0029034B"/>
    <w:rsid w:val="002926BD"/>
    <w:rsid w:val="002968E2"/>
    <w:rsid w:val="002A0A08"/>
    <w:rsid w:val="002A11DA"/>
    <w:rsid w:val="002A56EF"/>
    <w:rsid w:val="002A5D5B"/>
    <w:rsid w:val="002A5FB6"/>
    <w:rsid w:val="002A67C5"/>
    <w:rsid w:val="002B2CC4"/>
    <w:rsid w:val="002B7985"/>
    <w:rsid w:val="002C475D"/>
    <w:rsid w:val="002D6C57"/>
    <w:rsid w:val="002E0A7A"/>
    <w:rsid w:val="002E71BB"/>
    <w:rsid w:val="002E7F6D"/>
    <w:rsid w:val="002F0BA3"/>
    <w:rsid w:val="002F7670"/>
    <w:rsid w:val="00301F50"/>
    <w:rsid w:val="00301FDE"/>
    <w:rsid w:val="003022CA"/>
    <w:rsid w:val="00303739"/>
    <w:rsid w:val="00303C4E"/>
    <w:rsid w:val="00304C3E"/>
    <w:rsid w:val="003314B2"/>
    <w:rsid w:val="00331CD9"/>
    <w:rsid w:val="00333079"/>
    <w:rsid w:val="00335C33"/>
    <w:rsid w:val="00335FF9"/>
    <w:rsid w:val="00340FCD"/>
    <w:rsid w:val="00341E83"/>
    <w:rsid w:val="0034225F"/>
    <w:rsid w:val="00343A83"/>
    <w:rsid w:val="003448CD"/>
    <w:rsid w:val="003458B9"/>
    <w:rsid w:val="00353C49"/>
    <w:rsid w:val="00360440"/>
    <w:rsid w:val="00360A75"/>
    <w:rsid w:val="00395416"/>
    <w:rsid w:val="003A2E43"/>
    <w:rsid w:val="003A600B"/>
    <w:rsid w:val="003A6C63"/>
    <w:rsid w:val="003B245A"/>
    <w:rsid w:val="003B3C70"/>
    <w:rsid w:val="003C4F3C"/>
    <w:rsid w:val="003C7523"/>
    <w:rsid w:val="003D4767"/>
    <w:rsid w:val="003D7BBB"/>
    <w:rsid w:val="003D7BD8"/>
    <w:rsid w:val="003F5F4E"/>
    <w:rsid w:val="00403E8E"/>
    <w:rsid w:val="00407361"/>
    <w:rsid w:val="00416F72"/>
    <w:rsid w:val="00432588"/>
    <w:rsid w:val="0044450A"/>
    <w:rsid w:val="0044538E"/>
    <w:rsid w:val="00445C38"/>
    <w:rsid w:val="00454EBD"/>
    <w:rsid w:val="00456760"/>
    <w:rsid w:val="00457C5A"/>
    <w:rsid w:val="004611A8"/>
    <w:rsid w:val="004627DE"/>
    <w:rsid w:val="00465B68"/>
    <w:rsid w:val="00467003"/>
    <w:rsid w:val="004718E0"/>
    <w:rsid w:val="004741C1"/>
    <w:rsid w:val="00474E86"/>
    <w:rsid w:val="00476A28"/>
    <w:rsid w:val="0049045D"/>
    <w:rsid w:val="004A0231"/>
    <w:rsid w:val="004A0F41"/>
    <w:rsid w:val="004A6400"/>
    <w:rsid w:val="004A7256"/>
    <w:rsid w:val="004B5C6B"/>
    <w:rsid w:val="004C03B7"/>
    <w:rsid w:val="004C0B60"/>
    <w:rsid w:val="004C4F08"/>
    <w:rsid w:val="004E40CF"/>
    <w:rsid w:val="004E7956"/>
    <w:rsid w:val="004E7A14"/>
    <w:rsid w:val="004F01B7"/>
    <w:rsid w:val="004F4E69"/>
    <w:rsid w:val="00504087"/>
    <w:rsid w:val="00506FB3"/>
    <w:rsid w:val="00515680"/>
    <w:rsid w:val="00527CE6"/>
    <w:rsid w:val="0053610B"/>
    <w:rsid w:val="00541655"/>
    <w:rsid w:val="0054276A"/>
    <w:rsid w:val="00542AAA"/>
    <w:rsid w:val="005445F0"/>
    <w:rsid w:val="00544B1B"/>
    <w:rsid w:val="00550DFC"/>
    <w:rsid w:val="00554D3E"/>
    <w:rsid w:val="0056052B"/>
    <w:rsid w:val="005958B3"/>
    <w:rsid w:val="005C2E91"/>
    <w:rsid w:val="005C38E4"/>
    <w:rsid w:val="005C70D8"/>
    <w:rsid w:val="005D3A14"/>
    <w:rsid w:val="005D6920"/>
    <w:rsid w:val="005E1A86"/>
    <w:rsid w:val="005F19E4"/>
    <w:rsid w:val="005F1A9C"/>
    <w:rsid w:val="005F2059"/>
    <w:rsid w:val="005F53B3"/>
    <w:rsid w:val="00602CD9"/>
    <w:rsid w:val="00613A06"/>
    <w:rsid w:val="0061435B"/>
    <w:rsid w:val="006148A9"/>
    <w:rsid w:val="006174B1"/>
    <w:rsid w:val="006176F6"/>
    <w:rsid w:val="00617A08"/>
    <w:rsid w:val="00620481"/>
    <w:rsid w:val="00621446"/>
    <w:rsid w:val="00623B17"/>
    <w:rsid w:val="0063699F"/>
    <w:rsid w:val="00644E85"/>
    <w:rsid w:val="00661657"/>
    <w:rsid w:val="006930C8"/>
    <w:rsid w:val="00697235"/>
    <w:rsid w:val="006A7C96"/>
    <w:rsid w:val="006B503A"/>
    <w:rsid w:val="006C2762"/>
    <w:rsid w:val="006C4F41"/>
    <w:rsid w:val="006D5868"/>
    <w:rsid w:val="006D6FFD"/>
    <w:rsid w:val="006E31E0"/>
    <w:rsid w:val="006E6738"/>
    <w:rsid w:val="00706D33"/>
    <w:rsid w:val="00707F12"/>
    <w:rsid w:val="00710051"/>
    <w:rsid w:val="007110F8"/>
    <w:rsid w:val="00712196"/>
    <w:rsid w:val="00730AD4"/>
    <w:rsid w:val="007338D4"/>
    <w:rsid w:val="00735FC4"/>
    <w:rsid w:val="00742AE3"/>
    <w:rsid w:val="00744923"/>
    <w:rsid w:val="0074602F"/>
    <w:rsid w:val="007462D8"/>
    <w:rsid w:val="00750207"/>
    <w:rsid w:val="00751D9B"/>
    <w:rsid w:val="00761AFD"/>
    <w:rsid w:val="00763981"/>
    <w:rsid w:val="00765DF5"/>
    <w:rsid w:val="007661E0"/>
    <w:rsid w:val="007666A5"/>
    <w:rsid w:val="00775481"/>
    <w:rsid w:val="007831C1"/>
    <w:rsid w:val="007917F5"/>
    <w:rsid w:val="007957B0"/>
    <w:rsid w:val="007A1840"/>
    <w:rsid w:val="007A4BED"/>
    <w:rsid w:val="007C0CCB"/>
    <w:rsid w:val="007C5455"/>
    <w:rsid w:val="007C6A90"/>
    <w:rsid w:val="007D015C"/>
    <w:rsid w:val="007D3907"/>
    <w:rsid w:val="007D3F4C"/>
    <w:rsid w:val="007D49AC"/>
    <w:rsid w:val="007E204F"/>
    <w:rsid w:val="007E2280"/>
    <w:rsid w:val="008010A3"/>
    <w:rsid w:val="008072A9"/>
    <w:rsid w:val="00810FF5"/>
    <w:rsid w:val="00815352"/>
    <w:rsid w:val="0081599D"/>
    <w:rsid w:val="008203E5"/>
    <w:rsid w:val="0084389D"/>
    <w:rsid w:val="00844122"/>
    <w:rsid w:val="00845DC1"/>
    <w:rsid w:val="00847513"/>
    <w:rsid w:val="00850042"/>
    <w:rsid w:val="00852167"/>
    <w:rsid w:val="008559F5"/>
    <w:rsid w:val="008565A4"/>
    <w:rsid w:val="00857BAE"/>
    <w:rsid w:val="00861410"/>
    <w:rsid w:val="0086326A"/>
    <w:rsid w:val="008652B4"/>
    <w:rsid w:val="008654AB"/>
    <w:rsid w:val="008670F1"/>
    <w:rsid w:val="00871F26"/>
    <w:rsid w:val="00874820"/>
    <w:rsid w:val="00876007"/>
    <w:rsid w:val="008764A7"/>
    <w:rsid w:val="00876CF3"/>
    <w:rsid w:val="00881521"/>
    <w:rsid w:val="008872BA"/>
    <w:rsid w:val="008929E7"/>
    <w:rsid w:val="00896178"/>
    <w:rsid w:val="008B042F"/>
    <w:rsid w:val="008B597B"/>
    <w:rsid w:val="008C1A46"/>
    <w:rsid w:val="008C4C37"/>
    <w:rsid w:val="008C5A0A"/>
    <w:rsid w:val="008D1ACE"/>
    <w:rsid w:val="008D2D0D"/>
    <w:rsid w:val="008D763F"/>
    <w:rsid w:val="008F3376"/>
    <w:rsid w:val="008F4D1B"/>
    <w:rsid w:val="008F7A22"/>
    <w:rsid w:val="00916BDD"/>
    <w:rsid w:val="009205DA"/>
    <w:rsid w:val="0092199C"/>
    <w:rsid w:val="0092303B"/>
    <w:rsid w:val="00936B90"/>
    <w:rsid w:val="00937CAA"/>
    <w:rsid w:val="00941588"/>
    <w:rsid w:val="00941975"/>
    <w:rsid w:val="009440AF"/>
    <w:rsid w:val="00953461"/>
    <w:rsid w:val="00956C80"/>
    <w:rsid w:val="00957055"/>
    <w:rsid w:val="00963850"/>
    <w:rsid w:val="0098217D"/>
    <w:rsid w:val="009837F9"/>
    <w:rsid w:val="00987C6B"/>
    <w:rsid w:val="00995DFA"/>
    <w:rsid w:val="009A1BFC"/>
    <w:rsid w:val="009B1CF3"/>
    <w:rsid w:val="009B2887"/>
    <w:rsid w:val="009D07B6"/>
    <w:rsid w:val="009D68B7"/>
    <w:rsid w:val="009E1D27"/>
    <w:rsid w:val="009E50B5"/>
    <w:rsid w:val="009E56BB"/>
    <w:rsid w:val="009F2AE0"/>
    <w:rsid w:val="00A009CC"/>
    <w:rsid w:val="00A0269D"/>
    <w:rsid w:val="00A12A87"/>
    <w:rsid w:val="00A15B86"/>
    <w:rsid w:val="00A22B04"/>
    <w:rsid w:val="00A22B54"/>
    <w:rsid w:val="00A27C13"/>
    <w:rsid w:val="00A347E9"/>
    <w:rsid w:val="00A34915"/>
    <w:rsid w:val="00A35A1F"/>
    <w:rsid w:val="00A45EBE"/>
    <w:rsid w:val="00A47D61"/>
    <w:rsid w:val="00A47E93"/>
    <w:rsid w:val="00A56961"/>
    <w:rsid w:val="00A62451"/>
    <w:rsid w:val="00A6560E"/>
    <w:rsid w:val="00A8059D"/>
    <w:rsid w:val="00A82E92"/>
    <w:rsid w:val="00A84B87"/>
    <w:rsid w:val="00A97157"/>
    <w:rsid w:val="00AA0F06"/>
    <w:rsid w:val="00AC2C6B"/>
    <w:rsid w:val="00AD08C5"/>
    <w:rsid w:val="00AD6127"/>
    <w:rsid w:val="00AE49D7"/>
    <w:rsid w:val="00AE4DEE"/>
    <w:rsid w:val="00AF231E"/>
    <w:rsid w:val="00AF36FD"/>
    <w:rsid w:val="00B03D8B"/>
    <w:rsid w:val="00B16CC8"/>
    <w:rsid w:val="00B270F2"/>
    <w:rsid w:val="00B31980"/>
    <w:rsid w:val="00B368B4"/>
    <w:rsid w:val="00B464BC"/>
    <w:rsid w:val="00B54782"/>
    <w:rsid w:val="00B56019"/>
    <w:rsid w:val="00B5639F"/>
    <w:rsid w:val="00B57A1E"/>
    <w:rsid w:val="00B67D29"/>
    <w:rsid w:val="00B75275"/>
    <w:rsid w:val="00B87DF2"/>
    <w:rsid w:val="00B93E30"/>
    <w:rsid w:val="00B95D18"/>
    <w:rsid w:val="00BA304F"/>
    <w:rsid w:val="00BA35A9"/>
    <w:rsid w:val="00BB25DC"/>
    <w:rsid w:val="00BB2FF5"/>
    <w:rsid w:val="00BC54A6"/>
    <w:rsid w:val="00BE4215"/>
    <w:rsid w:val="00BE775D"/>
    <w:rsid w:val="00BF39E3"/>
    <w:rsid w:val="00BF4571"/>
    <w:rsid w:val="00BF6293"/>
    <w:rsid w:val="00C0072C"/>
    <w:rsid w:val="00C13BA5"/>
    <w:rsid w:val="00C212A0"/>
    <w:rsid w:val="00C265D2"/>
    <w:rsid w:val="00C272EB"/>
    <w:rsid w:val="00C31B60"/>
    <w:rsid w:val="00C325B3"/>
    <w:rsid w:val="00C41AD4"/>
    <w:rsid w:val="00C44264"/>
    <w:rsid w:val="00C523D7"/>
    <w:rsid w:val="00C7122C"/>
    <w:rsid w:val="00C80B17"/>
    <w:rsid w:val="00C82172"/>
    <w:rsid w:val="00C86839"/>
    <w:rsid w:val="00C90127"/>
    <w:rsid w:val="00C9355E"/>
    <w:rsid w:val="00CC3BF4"/>
    <w:rsid w:val="00CC7F26"/>
    <w:rsid w:val="00CD0917"/>
    <w:rsid w:val="00CD5256"/>
    <w:rsid w:val="00CD5EE1"/>
    <w:rsid w:val="00CD6DE2"/>
    <w:rsid w:val="00CE2109"/>
    <w:rsid w:val="00CF29F2"/>
    <w:rsid w:val="00D02590"/>
    <w:rsid w:val="00D135EC"/>
    <w:rsid w:val="00D21D03"/>
    <w:rsid w:val="00D22D81"/>
    <w:rsid w:val="00D25C2F"/>
    <w:rsid w:val="00D26168"/>
    <w:rsid w:val="00D334C2"/>
    <w:rsid w:val="00D3449B"/>
    <w:rsid w:val="00D40B0C"/>
    <w:rsid w:val="00D42B3A"/>
    <w:rsid w:val="00D45890"/>
    <w:rsid w:val="00D46200"/>
    <w:rsid w:val="00D54796"/>
    <w:rsid w:val="00D61321"/>
    <w:rsid w:val="00D61886"/>
    <w:rsid w:val="00D618CB"/>
    <w:rsid w:val="00D6260E"/>
    <w:rsid w:val="00D64F45"/>
    <w:rsid w:val="00D70BD3"/>
    <w:rsid w:val="00D77B32"/>
    <w:rsid w:val="00D81165"/>
    <w:rsid w:val="00D815C2"/>
    <w:rsid w:val="00D85D3E"/>
    <w:rsid w:val="00D92D3B"/>
    <w:rsid w:val="00D9516F"/>
    <w:rsid w:val="00DA528D"/>
    <w:rsid w:val="00DA7180"/>
    <w:rsid w:val="00DA743D"/>
    <w:rsid w:val="00DA7925"/>
    <w:rsid w:val="00DA7F83"/>
    <w:rsid w:val="00DB3A8C"/>
    <w:rsid w:val="00DB4D38"/>
    <w:rsid w:val="00DB633C"/>
    <w:rsid w:val="00DC08E1"/>
    <w:rsid w:val="00DD7FA3"/>
    <w:rsid w:val="00DE4B91"/>
    <w:rsid w:val="00DE4E4E"/>
    <w:rsid w:val="00DF3DBC"/>
    <w:rsid w:val="00E00FB6"/>
    <w:rsid w:val="00E016AE"/>
    <w:rsid w:val="00E032C7"/>
    <w:rsid w:val="00E052B4"/>
    <w:rsid w:val="00E05739"/>
    <w:rsid w:val="00E13AA9"/>
    <w:rsid w:val="00E20ABA"/>
    <w:rsid w:val="00E25C39"/>
    <w:rsid w:val="00E25C3B"/>
    <w:rsid w:val="00E43C3E"/>
    <w:rsid w:val="00E449D0"/>
    <w:rsid w:val="00E45A50"/>
    <w:rsid w:val="00E53053"/>
    <w:rsid w:val="00E534D9"/>
    <w:rsid w:val="00E62069"/>
    <w:rsid w:val="00E63160"/>
    <w:rsid w:val="00E642C1"/>
    <w:rsid w:val="00E70025"/>
    <w:rsid w:val="00E70890"/>
    <w:rsid w:val="00E73241"/>
    <w:rsid w:val="00E813EB"/>
    <w:rsid w:val="00E840F5"/>
    <w:rsid w:val="00E872ED"/>
    <w:rsid w:val="00E911C3"/>
    <w:rsid w:val="00E96591"/>
    <w:rsid w:val="00E96E36"/>
    <w:rsid w:val="00EA3FBE"/>
    <w:rsid w:val="00EA5383"/>
    <w:rsid w:val="00EA5EE9"/>
    <w:rsid w:val="00EA74D8"/>
    <w:rsid w:val="00EB4F3F"/>
    <w:rsid w:val="00EC5902"/>
    <w:rsid w:val="00EC6B15"/>
    <w:rsid w:val="00ED75A4"/>
    <w:rsid w:val="00ED761B"/>
    <w:rsid w:val="00EE2E4B"/>
    <w:rsid w:val="00EE5C2C"/>
    <w:rsid w:val="00EE6D12"/>
    <w:rsid w:val="00EE7026"/>
    <w:rsid w:val="00EF06D3"/>
    <w:rsid w:val="00EF14D3"/>
    <w:rsid w:val="00EF5F16"/>
    <w:rsid w:val="00EF6E99"/>
    <w:rsid w:val="00EF7A8E"/>
    <w:rsid w:val="00F00FCE"/>
    <w:rsid w:val="00F01439"/>
    <w:rsid w:val="00F07FD0"/>
    <w:rsid w:val="00F24F33"/>
    <w:rsid w:val="00F309A2"/>
    <w:rsid w:val="00F36CB2"/>
    <w:rsid w:val="00F41A03"/>
    <w:rsid w:val="00F44739"/>
    <w:rsid w:val="00F46928"/>
    <w:rsid w:val="00F47AE3"/>
    <w:rsid w:val="00F47DCE"/>
    <w:rsid w:val="00F5262C"/>
    <w:rsid w:val="00F57576"/>
    <w:rsid w:val="00F720C8"/>
    <w:rsid w:val="00F8136D"/>
    <w:rsid w:val="00F86064"/>
    <w:rsid w:val="00F86150"/>
    <w:rsid w:val="00F87B45"/>
    <w:rsid w:val="00F90188"/>
    <w:rsid w:val="00F93C73"/>
    <w:rsid w:val="00F943D0"/>
    <w:rsid w:val="00F9610D"/>
    <w:rsid w:val="00FA1560"/>
    <w:rsid w:val="00FA3BF3"/>
    <w:rsid w:val="00FA5BE3"/>
    <w:rsid w:val="00FC2AAA"/>
    <w:rsid w:val="00FC49E7"/>
    <w:rsid w:val="00FE15B4"/>
    <w:rsid w:val="00FE18AD"/>
    <w:rsid w:val="00FE241A"/>
    <w:rsid w:val="00FE4D43"/>
    <w:rsid w:val="00FF1218"/>
    <w:rsid w:val="00FF6C95"/>
    <w:rsid w:val="016609A9"/>
    <w:rsid w:val="017B6DEB"/>
    <w:rsid w:val="01CC39E3"/>
    <w:rsid w:val="01E925F2"/>
    <w:rsid w:val="02126B4D"/>
    <w:rsid w:val="02AF3B8B"/>
    <w:rsid w:val="02F90FE9"/>
    <w:rsid w:val="041F24DF"/>
    <w:rsid w:val="04885A35"/>
    <w:rsid w:val="058D7738"/>
    <w:rsid w:val="05952F90"/>
    <w:rsid w:val="059E3EF1"/>
    <w:rsid w:val="05E117EC"/>
    <w:rsid w:val="05F361B8"/>
    <w:rsid w:val="078801B7"/>
    <w:rsid w:val="079D7A2E"/>
    <w:rsid w:val="07C5765D"/>
    <w:rsid w:val="07CA5CE6"/>
    <w:rsid w:val="07EB1A9B"/>
    <w:rsid w:val="08225FD8"/>
    <w:rsid w:val="08644765"/>
    <w:rsid w:val="08CA4DCB"/>
    <w:rsid w:val="08E15CE0"/>
    <w:rsid w:val="0A994B84"/>
    <w:rsid w:val="0AA326F3"/>
    <w:rsid w:val="0B0C2503"/>
    <w:rsid w:val="0B180F58"/>
    <w:rsid w:val="0B222E76"/>
    <w:rsid w:val="0B892750"/>
    <w:rsid w:val="0B8B442E"/>
    <w:rsid w:val="0BAA55E6"/>
    <w:rsid w:val="0BE54956"/>
    <w:rsid w:val="0C846695"/>
    <w:rsid w:val="0C8F7605"/>
    <w:rsid w:val="0D137957"/>
    <w:rsid w:val="0D731909"/>
    <w:rsid w:val="0DA90869"/>
    <w:rsid w:val="0DCE6B40"/>
    <w:rsid w:val="0E3942F2"/>
    <w:rsid w:val="0EF4164A"/>
    <w:rsid w:val="0F32408E"/>
    <w:rsid w:val="0FC50AD7"/>
    <w:rsid w:val="10061C61"/>
    <w:rsid w:val="10452721"/>
    <w:rsid w:val="104B4CEF"/>
    <w:rsid w:val="10D36B94"/>
    <w:rsid w:val="115B693C"/>
    <w:rsid w:val="12014679"/>
    <w:rsid w:val="122D778E"/>
    <w:rsid w:val="1281778A"/>
    <w:rsid w:val="12E12543"/>
    <w:rsid w:val="130A2B31"/>
    <w:rsid w:val="136E4430"/>
    <w:rsid w:val="13880DA5"/>
    <w:rsid w:val="13AF0A64"/>
    <w:rsid w:val="13B21365"/>
    <w:rsid w:val="14056D2C"/>
    <w:rsid w:val="14642D18"/>
    <w:rsid w:val="146B0390"/>
    <w:rsid w:val="1480382A"/>
    <w:rsid w:val="15040695"/>
    <w:rsid w:val="156E5F4C"/>
    <w:rsid w:val="157115AD"/>
    <w:rsid w:val="159641E1"/>
    <w:rsid w:val="1696688A"/>
    <w:rsid w:val="169E5370"/>
    <w:rsid w:val="16F70EB5"/>
    <w:rsid w:val="175C51BC"/>
    <w:rsid w:val="17AD4186"/>
    <w:rsid w:val="17C52D61"/>
    <w:rsid w:val="17CD1CCA"/>
    <w:rsid w:val="17D14C25"/>
    <w:rsid w:val="17D95BB5"/>
    <w:rsid w:val="17E23913"/>
    <w:rsid w:val="1808118C"/>
    <w:rsid w:val="183443D8"/>
    <w:rsid w:val="18A528A8"/>
    <w:rsid w:val="19135283"/>
    <w:rsid w:val="198B0A29"/>
    <w:rsid w:val="199A45E3"/>
    <w:rsid w:val="19CF5755"/>
    <w:rsid w:val="19E1248F"/>
    <w:rsid w:val="1A357CBC"/>
    <w:rsid w:val="1A6418BE"/>
    <w:rsid w:val="1ABC044C"/>
    <w:rsid w:val="1B260435"/>
    <w:rsid w:val="1B4D6DF1"/>
    <w:rsid w:val="1B8A4A87"/>
    <w:rsid w:val="1B8D28AA"/>
    <w:rsid w:val="1BDB04EE"/>
    <w:rsid w:val="1BE76AFF"/>
    <w:rsid w:val="1C5F0A91"/>
    <w:rsid w:val="1CC16948"/>
    <w:rsid w:val="1DDB5112"/>
    <w:rsid w:val="1DFD71F5"/>
    <w:rsid w:val="1E525F42"/>
    <w:rsid w:val="1EC8772C"/>
    <w:rsid w:val="1ED76661"/>
    <w:rsid w:val="1EE73154"/>
    <w:rsid w:val="206F20D9"/>
    <w:rsid w:val="20787D04"/>
    <w:rsid w:val="20FB77F4"/>
    <w:rsid w:val="210C0266"/>
    <w:rsid w:val="21821E81"/>
    <w:rsid w:val="2186187C"/>
    <w:rsid w:val="21D37566"/>
    <w:rsid w:val="221D21EB"/>
    <w:rsid w:val="225854A3"/>
    <w:rsid w:val="22C26E69"/>
    <w:rsid w:val="22F47BC6"/>
    <w:rsid w:val="241C01AD"/>
    <w:rsid w:val="244C03B9"/>
    <w:rsid w:val="2536631F"/>
    <w:rsid w:val="255372EC"/>
    <w:rsid w:val="25E310F1"/>
    <w:rsid w:val="26034365"/>
    <w:rsid w:val="26101C21"/>
    <w:rsid w:val="26393176"/>
    <w:rsid w:val="26551754"/>
    <w:rsid w:val="26D6579F"/>
    <w:rsid w:val="26EA00EF"/>
    <w:rsid w:val="2770406A"/>
    <w:rsid w:val="277F6165"/>
    <w:rsid w:val="27E1561F"/>
    <w:rsid w:val="27F50CB2"/>
    <w:rsid w:val="28B71033"/>
    <w:rsid w:val="28D500AB"/>
    <w:rsid w:val="28EB63A0"/>
    <w:rsid w:val="29222C65"/>
    <w:rsid w:val="2959347F"/>
    <w:rsid w:val="29972F9E"/>
    <w:rsid w:val="29BA40F2"/>
    <w:rsid w:val="2A9520D7"/>
    <w:rsid w:val="2AC74DCA"/>
    <w:rsid w:val="2B753271"/>
    <w:rsid w:val="2C0C4D3C"/>
    <w:rsid w:val="2C497724"/>
    <w:rsid w:val="2D156503"/>
    <w:rsid w:val="2D5F2277"/>
    <w:rsid w:val="2DCA3E88"/>
    <w:rsid w:val="2DE51610"/>
    <w:rsid w:val="2DF449B1"/>
    <w:rsid w:val="2E016747"/>
    <w:rsid w:val="2E9629FA"/>
    <w:rsid w:val="2EA150AF"/>
    <w:rsid w:val="2EA33C64"/>
    <w:rsid w:val="2F887C82"/>
    <w:rsid w:val="2FC66360"/>
    <w:rsid w:val="2FF03FEE"/>
    <w:rsid w:val="306607A1"/>
    <w:rsid w:val="306F723D"/>
    <w:rsid w:val="30FB518B"/>
    <w:rsid w:val="3105683A"/>
    <w:rsid w:val="31413C35"/>
    <w:rsid w:val="32013CD0"/>
    <w:rsid w:val="322E3F4D"/>
    <w:rsid w:val="326F5A60"/>
    <w:rsid w:val="32837194"/>
    <w:rsid w:val="32EF7F1A"/>
    <w:rsid w:val="336E1ECF"/>
    <w:rsid w:val="34974D11"/>
    <w:rsid w:val="34E6581E"/>
    <w:rsid w:val="35071324"/>
    <w:rsid w:val="35E2650A"/>
    <w:rsid w:val="363E6D1E"/>
    <w:rsid w:val="3698036F"/>
    <w:rsid w:val="37471CEF"/>
    <w:rsid w:val="3842597F"/>
    <w:rsid w:val="38B357E7"/>
    <w:rsid w:val="38CC67A5"/>
    <w:rsid w:val="392215E0"/>
    <w:rsid w:val="39E51924"/>
    <w:rsid w:val="3A6B7341"/>
    <w:rsid w:val="3B935B0C"/>
    <w:rsid w:val="3BB05953"/>
    <w:rsid w:val="3C135E57"/>
    <w:rsid w:val="3C720E5A"/>
    <w:rsid w:val="3CA211AA"/>
    <w:rsid w:val="3CCE3B2B"/>
    <w:rsid w:val="3D3D0B09"/>
    <w:rsid w:val="3D956BAE"/>
    <w:rsid w:val="3E9B1C85"/>
    <w:rsid w:val="3EBF7008"/>
    <w:rsid w:val="3F1F03E5"/>
    <w:rsid w:val="3FE94921"/>
    <w:rsid w:val="3FE956AD"/>
    <w:rsid w:val="412A5087"/>
    <w:rsid w:val="41B749F5"/>
    <w:rsid w:val="41BC27CF"/>
    <w:rsid w:val="41E27A41"/>
    <w:rsid w:val="428A217B"/>
    <w:rsid w:val="42A53603"/>
    <w:rsid w:val="42BA6E79"/>
    <w:rsid w:val="42F216A9"/>
    <w:rsid w:val="430A6D74"/>
    <w:rsid w:val="433A3442"/>
    <w:rsid w:val="4382178C"/>
    <w:rsid w:val="4401275B"/>
    <w:rsid w:val="44263295"/>
    <w:rsid w:val="44477EA9"/>
    <w:rsid w:val="44757FAA"/>
    <w:rsid w:val="447856D2"/>
    <w:rsid w:val="44801C3A"/>
    <w:rsid w:val="44935DDC"/>
    <w:rsid w:val="44B33D61"/>
    <w:rsid w:val="44D371D1"/>
    <w:rsid w:val="4532185A"/>
    <w:rsid w:val="45392CA0"/>
    <w:rsid w:val="4540481D"/>
    <w:rsid w:val="45C14E93"/>
    <w:rsid w:val="46207231"/>
    <w:rsid w:val="464A2C90"/>
    <w:rsid w:val="472A62EE"/>
    <w:rsid w:val="47596E9F"/>
    <w:rsid w:val="477D2FB5"/>
    <w:rsid w:val="47820F95"/>
    <w:rsid w:val="48111E4E"/>
    <w:rsid w:val="48BA6893"/>
    <w:rsid w:val="48F72795"/>
    <w:rsid w:val="48F826E7"/>
    <w:rsid w:val="49674108"/>
    <w:rsid w:val="4A0C0F58"/>
    <w:rsid w:val="4ABD7744"/>
    <w:rsid w:val="4AE3709B"/>
    <w:rsid w:val="4B6B71A0"/>
    <w:rsid w:val="4C004637"/>
    <w:rsid w:val="4C942727"/>
    <w:rsid w:val="4CAB7062"/>
    <w:rsid w:val="4D11534C"/>
    <w:rsid w:val="4DC25072"/>
    <w:rsid w:val="4DE32A19"/>
    <w:rsid w:val="4E516B22"/>
    <w:rsid w:val="4E8250F9"/>
    <w:rsid w:val="4FAA62A0"/>
    <w:rsid w:val="4FF65D82"/>
    <w:rsid w:val="50037BAD"/>
    <w:rsid w:val="500A03B4"/>
    <w:rsid w:val="503B1837"/>
    <w:rsid w:val="503E2A92"/>
    <w:rsid w:val="503F2650"/>
    <w:rsid w:val="50EF0F2D"/>
    <w:rsid w:val="51261BBF"/>
    <w:rsid w:val="512E2438"/>
    <w:rsid w:val="51A17E69"/>
    <w:rsid w:val="51C53EAB"/>
    <w:rsid w:val="5210727B"/>
    <w:rsid w:val="52490B55"/>
    <w:rsid w:val="528B64DA"/>
    <w:rsid w:val="52A762F3"/>
    <w:rsid w:val="52AE0769"/>
    <w:rsid w:val="53147604"/>
    <w:rsid w:val="539B1B22"/>
    <w:rsid w:val="54195FAB"/>
    <w:rsid w:val="54EC6385"/>
    <w:rsid w:val="558529BE"/>
    <w:rsid w:val="55872915"/>
    <w:rsid w:val="55D1599F"/>
    <w:rsid w:val="55F926AC"/>
    <w:rsid w:val="56C461DD"/>
    <w:rsid w:val="56F66C3D"/>
    <w:rsid w:val="5783541F"/>
    <w:rsid w:val="57F9585E"/>
    <w:rsid w:val="57FA2C75"/>
    <w:rsid w:val="583C5B9A"/>
    <w:rsid w:val="583E3F5E"/>
    <w:rsid w:val="5868570F"/>
    <w:rsid w:val="587C20BF"/>
    <w:rsid w:val="58C64AFE"/>
    <w:rsid w:val="5959746D"/>
    <w:rsid w:val="598606D4"/>
    <w:rsid w:val="5A0D461A"/>
    <w:rsid w:val="5AA37D8B"/>
    <w:rsid w:val="5AC151AA"/>
    <w:rsid w:val="5AEA5DC4"/>
    <w:rsid w:val="5AF21872"/>
    <w:rsid w:val="5B2F148B"/>
    <w:rsid w:val="5B5E28E0"/>
    <w:rsid w:val="5BBC2156"/>
    <w:rsid w:val="5C3B0438"/>
    <w:rsid w:val="5C850EBC"/>
    <w:rsid w:val="5C96660E"/>
    <w:rsid w:val="5CA714FC"/>
    <w:rsid w:val="5CBB785C"/>
    <w:rsid w:val="5E2A12EC"/>
    <w:rsid w:val="5E327B8A"/>
    <w:rsid w:val="5E4A3964"/>
    <w:rsid w:val="5E551D41"/>
    <w:rsid w:val="5E9C27A1"/>
    <w:rsid w:val="5EA45754"/>
    <w:rsid w:val="5EAA6F92"/>
    <w:rsid w:val="5F760A58"/>
    <w:rsid w:val="60286C6B"/>
    <w:rsid w:val="602908C2"/>
    <w:rsid w:val="60586DDA"/>
    <w:rsid w:val="605B0055"/>
    <w:rsid w:val="60780C1A"/>
    <w:rsid w:val="60ED2988"/>
    <w:rsid w:val="60F02A2F"/>
    <w:rsid w:val="6105510D"/>
    <w:rsid w:val="611F7A18"/>
    <w:rsid w:val="613A6556"/>
    <w:rsid w:val="6140644E"/>
    <w:rsid w:val="61C747D4"/>
    <w:rsid w:val="61EB5224"/>
    <w:rsid w:val="632A6F4C"/>
    <w:rsid w:val="635D78BF"/>
    <w:rsid w:val="637556B9"/>
    <w:rsid w:val="642602DF"/>
    <w:rsid w:val="645E0141"/>
    <w:rsid w:val="648C6DA8"/>
    <w:rsid w:val="648E542B"/>
    <w:rsid w:val="64D63485"/>
    <w:rsid w:val="64F97445"/>
    <w:rsid w:val="65464694"/>
    <w:rsid w:val="65893B33"/>
    <w:rsid w:val="65FA3BBD"/>
    <w:rsid w:val="6609778F"/>
    <w:rsid w:val="668D04BB"/>
    <w:rsid w:val="66957CD4"/>
    <w:rsid w:val="66A80E51"/>
    <w:rsid w:val="675E6634"/>
    <w:rsid w:val="676B07FC"/>
    <w:rsid w:val="67CC52B3"/>
    <w:rsid w:val="67CE341C"/>
    <w:rsid w:val="683E3FD1"/>
    <w:rsid w:val="686B6B0D"/>
    <w:rsid w:val="68A148A4"/>
    <w:rsid w:val="68C2554A"/>
    <w:rsid w:val="699E45CE"/>
    <w:rsid w:val="6A7629C0"/>
    <w:rsid w:val="6AA80DDD"/>
    <w:rsid w:val="6ACB3D6B"/>
    <w:rsid w:val="6B250CC2"/>
    <w:rsid w:val="6B5319D0"/>
    <w:rsid w:val="6BC8033A"/>
    <w:rsid w:val="6C2076DB"/>
    <w:rsid w:val="6C534B2B"/>
    <w:rsid w:val="6C81017A"/>
    <w:rsid w:val="6C9C6852"/>
    <w:rsid w:val="6CA9119F"/>
    <w:rsid w:val="6CAD179A"/>
    <w:rsid w:val="6CB1512F"/>
    <w:rsid w:val="6CC16DF1"/>
    <w:rsid w:val="6CCD4079"/>
    <w:rsid w:val="6CE50021"/>
    <w:rsid w:val="6CF0469A"/>
    <w:rsid w:val="6CF41998"/>
    <w:rsid w:val="6D0B4842"/>
    <w:rsid w:val="6D203E37"/>
    <w:rsid w:val="6D365B1A"/>
    <w:rsid w:val="6D535020"/>
    <w:rsid w:val="6DB12089"/>
    <w:rsid w:val="6E205362"/>
    <w:rsid w:val="6E254355"/>
    <w:rsid w:val="6E2E60E0"/>
    <w:rsid w:val="6E571373"/>
    <w:rsid w:val="6E604013"/>
    <w:rsid w:val="6EEE2B8C"/>
    <w:rsid w:val="6F4D264C"/>
    <w:rsid w:val="706358A8"/>
    <w:rsid w:val="70727292"/>
    <w:rsid w:val="708E10B8"/>
    <w:rsid w:val="70995E34"/>
    <w:rsid w:val="71526589"/>
    <w:rsid w:val="71713FF1"/>
    <w:rsid w:val="71A745D5"/>
    <w:rsid w:val="71A77779"/>
    <w:rsid w:val="71CD555F"/>
    <w:rsid w:val="72466098"/>
    <w:rsid w:val="72850298"/>
    <w:rsid w:val="729767DB"/>
    <w:rsid w:val="72B34CC6"/>
    <w:rsid w:val="72D20FBC"/>
    <w:rsid w:val="730B4709"/>
    <w:rsid w:val="74202A40"/>
    <w:rsid w:val="742779EC"/>
    <w:rsid w:val="742C4B22"/>
    <w:rsid w:val="744D3F24"/>
    <w:rsid w:val="74653EE5"/>
    <w:rsid w:val="74B27B5E"/>
    <w:rsid w:val="753957A8"/>
    <w:rsid w:val="7541122B"/>
    <w:rsid w:val="7592164A"/>
    <w:rsid w:val="76761935"/>
    <w:rsid w:val="76995678"/>
    <w:rsid w:val="76B52A9A"/>
    <w:rsid w:val="76C479BE"/>
    <w:rsid w:val="770F4DDF"/>
    <w:rsid w:val="77BE259C"/>
    <w:rsid w:val="784D49FB"/>
    <w:rsid w:val="79146AC1"/>
    <w:rsid w:val="79BA5916"/>
    <w:rsid w:val="7A02337B"/>
    <w:rsid w:val="7A906810"/>
    <w:rsid w:val="7ABF2AE7"/>
    <w:rsid w:val="7B0A1017"/>
    <w:rsid w:val="7B7827F0"/>
    <w:rsid w:val="7C734899"/>
    <w:rsid w:val="7CCF04D5"/>
    <w:rsid w:val="7D41249C"/>
    <w:rsid w:val="7D9F4FD9"/>
    <w:rsid w:val="7E5A082B"/>
    <w:rsid w:val="7E8C7632"/>
    <w:rsid w:val="7EF84840"/>
    <w:rsid w:val="7F014A77"/>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autoRedefine/>
    <w:qFormat/>
    <w:uiPriority w:val="0"/>
    <w:pPr>
      <w:keepNext/>
      <w:keepLines/>
      <w:spacing w:line="360" w:lineRule="auto"/>
      <w:outlineLvl w:val="0"/>
    </w:pPr>
    <w:rPr>
      <w:rFonts w:eastAsia="黑体"/>
      <w:bCs/>
      <w:kern w:val="44"/>
      <w:sz w:val="24"/>
      <w:szCs w:val="44"/>
    </w:rPr>
  </w:style>
  <w:style w:type="paragraph" w:styleId="3">
    <w:name w:val="heading 2"/>
    <w:basedOn w:val="1"/>
    <w:link w:val="28"/>
    <w:autoRedefine/>
    <w:unhideWhenUsed/>
    <w:qFormat/>
    <w:uiPriority w:val="0"/>
    <w:pPr>
      <w:keepNext/>
      <w:keepLines/>
      <w:spacing w:line="360" w:lineRule="auto"/>
      <w:outlineLvl w:val="1"/>
    </w:pPr>
    <w:rPr>
      <w:rFonts w:eastAsia="黑体" w:asciiTheme="majorHAnsi" w:hAnsiTheme="majorHAnsi" w:cstheme="majorBidi"/>
      <w:bCs/>
      <w:sz w:val="24"/>
      <w:szCs w:val="32"/>
    </w:rPr>
  </w:style>
  <w:style w:type="paragraph" w:styleId="4">
    <w:name w:val="heading 3"/>
    <w:basedOn w:val="1"/>
    <w:next w:val="1"/>
    <w:link w:val="33"/>
    <w:autoRedefine/>
    <w:unhideWhenUsed/>
    <w:qFormat/>
    <w:uiPriority w:val="0"/>
    <w:pPr>
      <w:keepNext/>
      <w:keepLines/>
      <w:spacing w:line="360" w:lineRule="auto"/>
      <w:outlineLvl w:val="2"/>
    </w:pPr>
    <w:rPr>
      <w:rFonts w:eastAsia="黑体"/>
      <w:bCs/>
      <w:sz w:val="24"/>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caption"/>
    <w:basedOn w:val="1"/>
    <w:next w:val="1"/>
    <w:autoRedefine/>
    <w:semiHidden/>
    <w:unhideWhenUsed/>
    <w:qFormat/>
    <w:uiPriority w:val="35"/>
    <w:rPr>
      <w:rFonts w:eastAsia="黑体" w:asciiTheme="majorHAnsi" w:hAnsiTheme="majorHAnsi" w:cstheme="majorBidi"/>
      <w:sz w:val="20"/>
      <w:szCs w:val="20"/>
    </w:rPr>
  </w:style>
  <w:style w:type="paragraph" w:styleId="6">
    <w:name w:val="annotation text"/>
    <w:basedOn w:val="1"/>
    <w:link w:val="63"/>
    <w:autoRedefine/>
    <w:unhideWhenUsed/>
    <w:qFormat/>
    <w:uiPriority w:val="99"/>
    <w:pPr>
      <w:jc w:val="left"/>
    </w:pPr>
    <w:rPr>
      <w:rFonts w:ascii="Times New Roman" w:hAnsi="Times New Roman" w:eastAsia="宋体" w:cs="Times New Roman"/>
      <w:szCs w:val="21"/>
    </w:rPr>
  </w:style>
  <w:style w:type="paragraph" w:styleId="7">
    <w:name w:val="Body Text"/>
    <w:basedOn w:val="1"/>
    <w:link w:val="50"/>
    <w:autoRedefine/>
    <w:unhideWhenUsed/>
    <w:qFormat/>
    <w:uiPriority w:val="99"/>
    <w:pPr>
      <w:spacing w:before="100" w:beforeAutospacing="1" w:after="120"/>
    </w:pPr>
    <w:rPr>
      <w:rFonts w:ascii="Times New Roman" w:hAnsi="Times New Roman" w:eastAsia="宋体" w:cs="Times New Roman"/>
      <w:kern w:val="0"/>
      <w:sz w:val="20"/>
      <w:szCs w:val="20"/>
    </w:rPr>
  </w:style>
  <w:style w:type="paragraph" w:styleId="8">
    <w:name w:val="toc 3"/>
    <w:basedOn w:val="1"/>
    <w:next w:val="1"/>
    <w:autoRedefine/>
    <w:qFormat/>
    <w:uiPriority w:val="39"/>
    <w:pPr>
      <w:ind w:left="840" w:leftChars="400"/>
    </w:pPr>
  </w:style>
  <w:style w:type="paragraph" w:styleId="9">
    <w:name w:val="Plain Text"/>
    <w:basedOn w:val="1"/>
    <w:link w:val="51"/>
    <w:autoRedefine/>
    <w:unhideWhenUsed/>
    <w:qFormat/>
    <w:uiPriority w:val="99"/>
    <w:rPr>
      <w:rFonts w:ascii="宋体" w:hAnsi="Courier New" w:eastAsia="宋体" w:cs="Courier New"/>
      <w:szCs w:val="21"/>
    </w:rPr>
  </w:style>
  <w:style w:type="paragraph" w:styleId="10">
    <w:name w:val="Date"/>
    <w:basedOn w:val="1"/>
    <w:next w:val="1"/>
    <w:link w:val="32"/>
    <w:autoRedefine/>
    <w:qFormat/>
    <w:uiPriority w:val="99"/>
    <w:pPr>
      <w:ind w:left="100" w:leftChars="2500"/>
    </w:pPr>
  </w:style>
  <w:style w:type="paragraph" w:styleId="11">
    <w:name w:val="Body Text Indent 2"/>
    <w:basedOn w:val="1"/>
    <w:autoRedefine/>
    <w:semiHidden/>
    <w:unhideWhenUsed/>
    <w:qFormat/>
    <w:uiPriority w:val="99"/>
    <w:pPr>
      <w:spacing w:after="120" w:line="480" w:lineRule="auto"/>
      <w:ind w:left="420" w:leftChars="200"/>
    </w:pPr>
  </w:style>
  <w:style w:type="paragraph" w:styleId="12">
    <w:name w:val="Balloon Text"/>
    <w:basedOn w:val="1"/>
    <w:link w:val="29"/>
    <w:autoRedefine/>
    <w:qFormat/>
    <w:uiPriority w:val="0"/>
    <w:rPr>
      <w:sz w:val="18"/>
      <w:szCs w:val="18"/>
    </w:rPr>
  </w:style>
  <w:style w:type="paragraph" w:styleId="13">
    <w:name w:val="footer"/>
    <w:basedOn w:val="1"/>
    <w:link w:val="31"/>
    <w:autoRedefine/>
    <w:qFormat/>
    <w:uiPriority w:val="99"/>
    <w:pPr>
      <w:tabs>
        <w:tab w:val="center" w:pos="4153"/>
        <w:tab w:val="right" w:pos="8306"/>
      </w:tabs>
      <w:snapToGrid w:val="0"/>
      <w:jc w:val="left"/>
    </w:pPr>
    <w:rPr>
      <w:sz w:val="18"/>
      <w:szCs w:val="18"/>
    </w:rPr>
  </w:style>
  <w:style w:type="paragraph" w:styleId="14">
    <w:name w:val="header"/>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toc 2"/>
    <w:basedOn w:val="1"/>
    <w:next w:val="1"/>
    <w:autoRedefine/>
    <w:qFormat/>
    <w:uiPriority w:val="39"/>
    <w:pPr>
      <w:ind w:left="420" w:leftChars="200"/>
    </w:pPr>
  </w:style>
  <w:style w:type="paragraph" w:styleId="17">
    <w:name w:val="Normal (Web)"/>
    <w:basedOn w:val="1"/>
    <w:autoRedefine/>
    <w:unhideWhenUsed/>
    <w:qFormat/>
    <w:uiPriority w:val="99"/>
    <w:pPr>
      <w:widowControl/>
      <w:jc w:val="left"/>
    </w:pPr>
    <w:rPr>
      <w:rFonts w:ascii="宋体" w:hAnsi="宋体" w:eastAsia="宋体" w:cs="宋体"/>
      <w:kern w:val="0"/>
      <w:sz w:val="24"/>
    </w:rPr>
  </w:style>
  <w:style w:type="paragraph" w:styleId="18">
    <w:name w:val="Title"/>
    <w:basedOn w:val="1"/>
    <w:next w:val="1"/>
    <w:link w:val="57"/>
    <w:autoRedefine/>
    <w:qFormat/>
    <w:uiPriority w:val="0"/>
    <w:pPr>
      <w:spacing w:before="240" w:after="60"/>
      <w:jc w:val="center"/>
      <w:outlineLvl w:val="0"/>
    </w:pPr>
    <w:rPr>
      <w:rFonts w:asciiTheme="majorHAnsi" w:hAnsiTheme="majorHAnsi" w:eastAsiaTheme="majorEastAsia" w:cstheme="majorBidi"/>
      <w:b/>
      <w:bCs/>
      <w:sz w:val="32"/>
      <w:szCs w:val="32"/>
    </w:rPr>
  </w:style>
  <w:style w:type="paragraph" w:styleId="19">
    <w:name w:val="annotation subject"/>
    <w:basedOn w:val="6"/>
    <w:next w:val="6"/>
    <w:link w:val="79"/>
    <w:autoRedefine/>
    <w:qFormat/>
    <w:uiPriority w:val="0"/>
    <w:rPr>
      <w:rFonts w:asciiTheme="minorHAnsi" w:hAnsiTheme="minorHAnsi" w:eastAsiaTheme="minorEastAsia" w:cstheme="minorBidi"/>
      <w:b/>
      <w:bCs/>
      <w:szCs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autoRedefine/>
    <w:qFormat/>
    <w:uiPriority w:val="0"/>
    <w:rPr>
      <w:rFonts w:hint="default" w:ascii="Arial" w:hAnsi="Arial" w:eastAsia="Arial" w:cs="Arial"/>
      <w:color w:val="333333"/>
      <w:sz w:val="21"/>
      <w:szCs w:val="21"/>
      <w:u w:val="none"/>
    </w:rPr>
  </w:style>
  <w:style w:type="character" w:styleId="24">
    <w:name w:val="Emphasis"/>
    <w:basedOn w:val="22"/>
    <w:autoRedefine/>
    <w:qFormat/>
    <w:uiPriority w:val="0"/>
    <w:rPr>
      <w:i/>
      <w:iCs/>
    </w:rPr>
  </w:style>
  <w:style w:type="character" w:styleId="25">
    <w:name w:val="Hyperlink"/>
    <w:basedOn w:val="22"/>
    <w:autoRedefine/>
    <w:unhideWhenUsed/>
    <w:qFormat/>
    <w:uiPriority w:val="99"/>
    <w:rPr>
      <w:color w:val="0563C1" w:themeColor="hyperlink"/>
      <w:u w:val="single"/>
      <w14:textFill>
        <w14:solidFill>
          <w14:schemeClr w14:val="hlink"/>
        </w14:solidFill>
      </w14:textFill>
    </w:rPr>
  </w:style>
  <w:style w:type="character" w:styleId="26">
    <w:name w:val="annotation reference"/>
    <w:basedOn w:val="22"/>
    <w:autoRedefine/>
    <w:qFormat/>
    <w:uiPriority w:val="0"/>
    <w:rPr>
      <w:sz w:val="21"/>
      <w:szCs w:val="21"/>
    </w:rPr>
  </w:style>
  <w:style w:type="character" w:customStyle="1" w:styleId="27">
    <w:name w:val="标题 1 字符"/>
    <w:basedOn w:val="22"/>
    <w:link w:val="2"/>
    <w:autoRedefine/>
    <w:qFormat/>
    <w:uiPriority w:val="0"/>
    <w:rPr>
      <w:rFonts w:eastAsia="黑体"/>
      <w:bCs/>
      <w:kern w:val="44"/>
      <w:sz w:val="24"/>
      <w:szCs w:val="44"/>
    </w:rPr>
  </w:style>
  <w:style w:type="character" w:customStyle="1" w:styleId="28">
    <w:name w:val="标题 2 字符"/>
    <w:basedOn w:val="22"/>
    <w:link w:val="3"/>
    <w:autoRedefine/>
    <w:qFormat/>
    <w:uiPriority w:val="0"/>
    <w:rPr>
      <w:rFonts w:eastAsia="黑体" w:asciiTheme="majorHAnsi" w:hAnsiTheme="majorHAnsi" w:cstheme="majorBidi"/>
      <w:bCs/>
      <w:kern w:val="2"/>
      <w:sz w:val="24"/>
      <w:szCs w:val="32"/>
    </w:rPr>
  </w:style>
  <w:style w:type="character" w:customStyle="1" w:styleId="29">
    <w:name w:val="批注框文本 字符"/>
    <w:basedOn w:val="22"/>
    <w:link w:val="12"/>
    <w:autoRedefine/>
    <w:qFormat/>
    <w:uiPriority w:val="0"/>
    <w:rPr>
      <w:kern w:val="2"/>
      <w:sz w:val="18"/>
      <w:szCs w:val="18"/>
    </w:rPr>
  </w:style>
  <w:style w:type="character" w:customStyle="1" w:styleId="30">
    <w:name w:val="页眉 字符"/>
    <w:basedOn w:val="22"/>
    <w:link w:val="14"/>
    <w:autoRedefine/>
    <w:qFormat/>
    <w:uiPriority w:val="0"/>
    <w:rPr>
      <w:kern w:val="2"/>
      <w:sz w:val="18"/>
      <w:szCs w:val="18"/>
    </w:rPr>
  </w:style>
  <w:style w:type="character" w:customStyle="1" w:styleId="31">
    <w:name w:val="页脚 字符"/>
    <w:basedOn w:val="22"/>
    <w:link w:val="13"/>
    <w:autoRedefine/>
    <w:qFormat/>
    <w:uiPriority w:val="99"/>
    <w:rPr>
      <w:kern w:val="2"/>
      <w:sz w:val="18"/>
      <w:szCs w:val="18"/>
    </w:rPr>
  </w:style>
  <w:style w:type="character" w:customStyle="1" w:styleId="32">
    <w:name w:val="日期 字符"/>
    <w:basedOn w:val="22"/>
    <w:link w:val="10"/>
    <w:autoRedefine/>
    <w:qFormat/>
    <w:uiPriority w:val="99"/>
    <w:rPr>
      <w:kern w:val="2"/>
      <w:sz w:val="21"/>
      <w:szCs w:val="24"/>
    </w:rPr>
  </w:style>
  <w:style w:type="character" w:customStyle="1" w:styleId="33">
    <w:name w:val="标题 3 字符"/>
    <w:basedOn w:val="22"/>
    <w:link w:val="4"/>
    <w:autoRedefine/>
    <w:qFormat/>
    <w:uiPriority w:val="0"/>
    <w:rPr>
      <w:rFonts w:eastAsia="黑体"/>
      <w:bCs/>
      <w:kern w:val="2"/>
      <w:sz w:val="24"/>
      <w:szCs w:val="32"/>
    </w:rPr>
  </w:style>
  <w:style w:type="paragraph" w:customStyle="1" w:styleId="34">
    <w:name w:val="TOC 标题1"/>
    <w:basedOn w:val="2"/>
    <w:next w:val="1"/>
    <w:autoRedefine/>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 w:type="character" w:customStyle="1" w:styleId="35">
    <w:name w:val="active"/>
    <w:basedOn w:val="22"/>
    <w:autoRedefine/>
    <w:qFormat/>
    <w:uiPriority w:val="0"/>
    <w:rPr>
      <w:color w:val="4285F4"/>
      <w:bdr w:val="single" w:color="4285F4" w:sz="6" w:space="0"/>
    </w:rPr>
  </w:style>
  <w:style w:type="character" w:customStyle="1" w:styleId="36">
    <w:name w:val="last-child"/>
    <w:basedOn w:val="22"/>
    <w:autoRedefine/>
    <w:qFormat/>
    <w:uiPriority w:val="0"/>
  </w:style>
  <w:style w:type="character" w:customStyle="1" w:styleId="37">
    <w:name w:val="credit"/>
    <w:basedOn w:val="22"/>
    <w:autoRedefine/>
    <w:qFormat/>
    <w:uiPriority w:val="0"/>
    <w:rPr>
      <w:sz w:val="18"/>
      <w:szCs w:val="18"/>
    </w:rPr>
  </w:style>
  <w:style w:type="character" w:customStyle="1" w:styleId="38">
    <w:name w:val="after"/>
    <w:basedOn w:val="22"/>
    <w:autoRedefine/>
    <w:qFormat/>
    <w:uiPriority w:val="0"/>
    <w:rPr>
      <w:bdr w:val="dashed" w:color="auto" w:sz="48" w:space="0"/>
    </w:rPr>
  </w:style>
  <w:style w:type="character" w:customStyle="1" w:styleId="39">
    <w:name w:val="after1"/>
    <w:basedOn w:val="22"/>
    <w:autoRedefine/>
    <w:qFormat/>
    <w:uiPriority w:val="0"/>
  </w:style>
  <w:style w:type="character" w:customStyle="1" w:styleId="40">
    <w:name w:val="before"/>
    <w:basedOn w:val="22"/>
    <w:autoRedefine/>
    <w:qFormat/>
    <w:uiPriority w:val="0"/>
    <w:rPr>
      <w:bdr w:val="single" w:color="auto" w:sz="48" w:space="0"/>
    </w:rPr>
  </w:style>
  <w:style w:type="character" w:customStyle="1" w:styleId="41">
    <w:name w:val="hover43"/>
    <w:basedOn w:val="22"/>
    <w:autoRedefine/>
    <w:qFormat/>
    <w:uiPriority w:val="0"/>
    <w:rPr>
      <w:shd w:val="clear" w:color="auto" w:fill="96815B"/>
    </w:rPr>
  </w:style>
  <w:style w:type="character" w:customStyle="1" w:styleId="42">
    <w:name w:val="hover44"/>
    <w:basedOn w:val="22"/>
    <w:autoRedefine/>
    <w:qFormat/>
    <w:uiPriority w:val="0"/>
    <w:rPr>
      <w:color w:val="4285F4"/>
    </w:rPr>
  </w:style>
  <w:style w:type="character" w:customStyle="1" w:styleId="43">
    <w:name w:val="hover45"/>
    <w:basedOn w:val="22"/>
    <w:autoRedefine/>
    <w:qFormat/>
    <w:uiPriority w:val="0"/>
    <w:rPr>
      <w:color w:val="BCA172"/>
      <w:u w:val="none"/>
    </w:rPr>
  </w:style>
  <w:style w:type="character" w:customStyle="1" w:styleId="44">
    <w:name w:val="hover46"/>
    <w:basedOn w:val="22"/>
    <w:autoRedefine/>
    <w:qFormat/>
    <w:uiPriority w:val="0"/>
    <w:rPr>
      <w:color w:val="BCA172"/>
    </w:rPr>
  </w:style>
  <w:style w:type="character" w:customStyle="1" w:styleId="45">
    <w:name w:val="hover47"/>
    <w:basedOn w:val="22"/>
    <w:autoRedefine/>
    <w:qFormat/>
    <w:uiPriority w:val="0"/>
    <w:rPr>
      <w:color w:val="1A85D7"/>
    </w:rPr>
  </w:style>
  <w:style w:type="character" w:customStyle="1" w:styleId="46">
    <w:name w:val="hover48"/>
    <w:basedOn w:val="22"/>
    <w:autoRedefine/>
    <w:qFormat/>
    <w:uiPriority w:val="0"/>
  </w:style>
  <w:style w:type="character" w:customStyle="1" w:styleId="47">
    <w:name w:val="first-child"/>
    <w:basedOn w:val="22"/>
    <w:autoRedefine/>
    <w:qFormat/>
    <w:uiPriority w:val="0"/>
  </w:style>
  <w:style w:type="paragraph" w:customStyle="1" w:styleId="48">
    <w:name w:val="TOC 标题2"/>
    <w:basedOn w:val="2"/>
    <w:next w:val="1"/>
    <w:autoRedefine/>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 w:type="paragraph" w:customStyle="1" w:styleId="49">
    <w:name w:val="msonormal"/>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50">
    <w:name w:val="正文文本 字符"/>
    <w:basedOn w:val="22"/>
    <w:link w:val="7"/>
    <w:autoRedefine/>
    <w:qFormat/>
    <w:uiPriority w:val="99"/>
  </w:style>
  <w:style w:type="character" w:customStyle="1" w:styleId="51">
    <w:name w:val="纯文本 字符"/>
    <w:basedOn w:val="22"/>
    <w:link w:val="9"/>
    <w:autoRedefine/>
    <w:qFormat/>
    <w:uiPriority w:val="99"/>
    <w:rPr>
      <w:rFonts w:ascii="宋体" w:hAnsi="Courier New" w:cs="Courier New"/>
      <w:kern w:val="2"/>
      <w:sz w:val="21"/>
      <w:szCs w:val="21"/>
    </w:rPr>
  </w:style>
  <w:style w:type="paragraph" w:customStyle="1" w:styleId="52">
    <w:name w:val="Default"/>
    <w:basedOn w:val="1"/>
    <w:autoRedefine/>
    <w:qFormat/>
    <w:uiPriority w:val="0"/>
    <w:pPr>
      <w:autoSpaceDE w:val="0"/>
      <w:autoSpaceDN w:val="0"/>
      <w:adjustRightInd w:val="0"/>
      <w:jc w:val="left"/>
    </w:pPr>
    <w:rPr>
      <w:rFonts w:ascii="宋体" w:hAnsi="宋体" w:eastAsia="宋体" w:cs="宋体"/>
      <w:color w:val="000000"/>
      <w:kern w:val="0"/>
      <w:sz w:val="24"/>
    </w:rPr>
  </w:style>
  <w:style w:type="paragraph" w:customStyle="1" w:styleId="53">
    <w:name w:val="合同正文 +黑体"/>
    <w:basedOn w:val="1"/>
    <w:autoRedefine/>
    <w:qFormat/>
    <w:uiPriority w:val="0"/>
    <w:pPr>
      <w:widowControl/>
      <w:adjustRightInd w:val="0"/>
      <w:snapToGrid w:val="0"/>
      <w:spacing w:before="100" w:beforeAutospacing="1" w:after="100" w:afterAutospacing="1" w:line="440" w:lineRule="atLeast"/>
      <w:ind w:right="240" w:firstLine="562" w:firstLineChars="200"/>
      <w:jc w:val="center"/>
    </w:pPr>
    <w:rPr>
      <w:rFonts w:ascii="宋体" w:hAnsi="宋体" w:eastAsia="黑体" w:cs="宋体"/>
      <w:b/>
      <w:bCs/>
      <w:color w:val="000000"/>
      <w:kern w:val="0"/>
      <w:sz w:val="28"/>
      <w:szCs w:val="28"/>
    </w:rPr>
  </w:style>
  <w:style w:type="paragraph" w:customStyle="1" w:styleId="54">
    <w:name w:val="列表段落1"/>
    <w:basedOn w:val="1"/>
    <w:autoRedefine/>
    <w:qFormat/>
    <w:uiPriority w:val="0"/>
    <w:pPr>
      <w:ind w:firstLine="420" w:firstLineChars="200"/>
    </w:pPr>
    <w:rPr>
      <w:rFonts w:ascii="Times New Roman" w:hAnsi="Times New Roman" w:eastAsia="宋体" w:cs="Times New Roman"/>
      <w:szCs w:val="21"/>
    </w:rPr>
  </w:style>
  <w:style w:type="character" w:customStyle="1" w:styleId="55">
    <w:name w:val="10"/>
    <w:basedOn w:val="22"/>
    <w:autoRedefine/>
    <w:qFormat/>
    <w:uiPriority w:val="0"/>
    <w:rPr>
      <w:rFonts w:hint="default" w:ascii="Times New Roman" w:hAnsi="Times New Roman" w:cs="Times New Roman"/>
    </w:rPr>
  </w:style>
  <w:style w:type="character" w:customStyle="1" w:styleId="56">
    <w:name w:val="15"/>
    <w:basedOn w:val="22"/>
    <w:autoRedefine/>
    <w:qFormat/>
    <w:uiPriority w:val="0"/>
    <w:rPr>
      <w:rFonts w:hint="default" w:ascii="Times New Roman" w:hAnsi="Times New Roman" w:cs="Times New Roman"/>
    </w:rPr>
  </w:style>
  <w:style w:type="character" w:customStyle="1" w:styleId="57">
    <w:name w:val="标题 字符"/>
    <w:basedOn w:val="22"/>
    <w:link w:val="18"/>
    <w:autoRedefine/>
    <w:qFormat/>
    <w:uiPriority w:val="0"/>
    <w:rPr>
      <w:rFonts w:asciiTheme="majorHAnsi" w:hAnsiTheme="majorHAnsi" w:eastAsiaTheme="majorEastAsia" w:cstheme="majorBidi"/>
      <w:b/>
      <w:bCs/>
      <w:kern w:val="2"/>
      <w:sz w:val="32"/>
      <w:szCs w:val="32"/>
    </w:rPr>
  </w:style>
  <w:style w:type="paragraph" w:styleId="58">
    <w:name w:val="List Paragraph"/>
    <w:basedOn w:val="1"/>
    <w:autoRedefine/>
    <w:qFormat/>
    <w:uiPriority w:val="34"/>
    <w:pPr>
      <w:ind w:firstLine="420" w:firstLineChars="200"/>
    </w:pPr>
    <w:rPr>
      <w:rFonts w:ascii="Calibri" w:hAnsi="Calibri" w:eastAsia="宋体" w:cs="Times New Roman"/>
      <w:szCs w:val="22"/>
    </w:rPr>
  </w:style>
  <w:style w:type="character" w:customStyle="1" w:styleId="59">
    <w:name w:val="Other|1_"/>
    <w:basedOn w:val="22"/>
    <w:link w:val="60"/>
    <w:autoRedefine/>
    <w:qFormat/>
    <w:uiPriority w:val="0"/>
    <w:rPr>
      <w:rFonts w:ascii="宋体" w:hAnsi="宋体" w:cs="宋体"/>
      <w:sz w:val="12"/>
      <w:szCs w:val="12"/>
      <w:lang w:val="zh-TW" w:eastAsia="zh-TW" w:bidi="zh-TW"/>
    </w:rPr>
  </w:style>
  <w:style w:type="paragraph" w:customStyle="1" w:styleId="60">
    <w:name w:val="Other|1"/>
    <w:basedOn w:val="1"/>
    <w:link w:val="59"/>
    <w:autoRedefine/>
    <w:qFormat/>
    <w:uiPriority w:val="0"/>
    <w:pPr>
      <w:jc w:val="left"/>
    </w:pPr>
    <w:rPr>
      <w:rFonts w:ascii="宋体" w:hAnsi="宋体" w:eastAsia="宋体" w:cs="宋体"/>
      <w:kern w:val="0"/>
      <w:sz w:val="12"/>
      <w:szCs w:val="12"/>
      <w:lang w:val="zh-TW" w:eastAsia="zh-TW" w:bidi="zh-TW"/>
    </w:rPr>
  </w:style>
  <w:style w:type="paragraph" w:customStyle="1" w:styleId="61">
    <w:name w:val="pf0"/>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62">
    <w:name w:val="cf01"/>
    <w:basedOn w:val="22"/>
    <w:autoRedefine/>
    <w:qFormat/>
    <w:uiPriority w:val="0"/>
    <w:rPr>
      <w:rFonts w:hint="eastAsia" w:ascii="Microsoft YaHei UI" w:hAnsi="Microsoft YaHei UI" w:eastAsia="Microsoft YaHei UI"/>
      <w:sz w:val="18"/>
      <w:szCs w:val="18"/>
    </w:rPr>
  </w:style>
  <w:style w:type="character" w:customStyle="1" w:styleId="63">
    <w:name w:val="批注文字 字符"/>
    <w:basedOn w:val="22"/>
    <w:link w:val="6"/>
    <w:autoRedefine/>
    <w:qFormat/>
    <w:uiPriority w:val="99"/>
    <w:rPr>
      <w:kern w:val="2"/>
      <w:sz w:val="21"/>
      <w:szCs w:val="21"/>
    </w:rPr>
  </w:style>
  <w:style w:type="character" w:customStyle="1" w:styleId="64">
    <w:name w:val="font01"/>
    <w:basedOn w:val="22"/>
    <w:autoRedefine/>
    <w:qFormat/>
    <w:uiPriority w:val="0"/>
    <w:rPr>
      <w:rFonts w:hint="eastAsia" w:ascii="等线" w:hAnsi="等线" w:eastAsia="等线" w:cs="等线"/>
      <w:color w:val="000000"/>
      <w:sz w:val="22"/>
      <w:szCs w:val="22"/>
      <w:u w:val="none"/>
    </w:rPr>
  </w:style>
  <w:style w:type="character" w:customStyle="1" w:styleId="65">
    <w:name w:val="font51"/>
    <w:basedOn w:val="22"/>
    <w:autoRedefine/>
    <w:qFormat/>
    <w:uiPriority w:val="0"/>
    <w:rPr>
      <w:rFonts w:ascii="Calibri" w:hAnsi="Calibri" w:cs="Calibri"/>
      <w:color w:val="000000"/>
      <w:sz w:val="22"/>
      <w:szCs w:val="22"/>
      <w:u w:val="none"/>
    </w:rPr>
  </w:style>
  <w:style w:type="character" w:customStyle="1" w:styleId="66">
    <w:name w:val="font11"/>
    <w:basedOn w:val="22"/>
    <w:autoRedefine/>
    <w:qFormat/>
    <w:uiPriority w:val="0"/>
    <w:rPr>
      <w:rFonts w:hint="default" w:ascii="Calibri" w:hAnsi="Calibri" w:cs="Calibri"/>
      <w:color w:val="000000"/>
      <w:sz w:val="22"/>
      <w:szCs w:val="22"/>
      <w:u w:val="none"/>
    </w:rPr>
  </w:style>
  <w:style w:type="character" w:customStyle="1" w:styleId="67">
    <w:name w:val="font31"/>
    <w:basedOn w:val="22"/>
    <w:autoRedefine/>
    <w:qFormat/>
    <w:uiPriority w:val="0"/>
    <w:rPr>
      <w:rFonts w:hint="eastAsia" w:ascii="宋体" w:hAnsi="宋体" w:eastAsia="宋体" w:cs="宋体"/>
      <w:color w:val="000000"/>
      <w:sz w:val="22"/>
      <w:szCs w:val="22"/>
      <w:u w:val="none"/>
    </w:rPr>
  </w:style>
  <w:style w:type="character" w:customStyle="1" w:styleId="68">
    <w:name w:val="font61"/>
    <w:basedOn w:val="22"/>
    <w:autoRedefine/>
    <w:qFormat/>
    <w:uiPriority w:val="0"/>
    <w:rPr>
      <w:rFonts w:ascii="微软雅黑" w:hAnsi="微软雅黑" w:eastAsia="微软雅黑" w:cs="微软雅黑"/>
      <w:color w:val="000000"/>
      <w:sz w:val="22"/>
      <w:szCs w:val="22"/>
      <w:u w:val="none"/>
    </w:rPr>
  </w:style>
  <w:style w:type="character" w:customStyle="1" w:styleId="69">
    <w:name w:val="font41"/>
    <w:basedOn w:val="22"/>
    <w:autoRedefine/>
    <w:qFormat/>
    <w:uiPriority w:val="0"/>
    <w:rPr>
      <w:rFonts w:hint="eastAsia" w:ascii="宋体" w:hAnsi="宋体" w:eastAsia="宋体" w:cs="宋体"/>
      <w:color w:val="000000"/>
      <w:sz w:val="22"/>
      <w:szCs w:val="22"/>
      <w:u w:val="none"/>
    </w:rPr>
  </w:style>
  <w:style w:type="character" w:customStyle="1" w:styleId="70">
    <w:name w:val="font21"/>
    <w:basedOn w:val="22"/>
    <w:autoRedefine/>
    <w:qFormat/>
    <w:uiPriority w:val="0"/>
    <w:rPr>
      <w:rFonts w:hint="eastAsia" w:ascii="宋体" w:hAnsi="宋体" w:eastAsia="宋体" w:cs="宋体"/>
      <w:color w:val="000000"/>
      <w:sz w:val="21"/>
      <w:szCs w:val="21"/>
      <w:u w:val="none"/>
    </w:rPr>
  </w:style>
  <w:style w:type="character" w:customStyle="1" w:styleId="71">
    <w:name w:val="font71"/>
    <w:basedOn w:val="22"/>
    <w:autoRedefine/>
    <w:qFormat/>
    <w:uiPriority w:val="0"/>
    <w:rPr>
      <w:rFonts w:hint="default" w:ascii="Times New Roman" w:hAnsi="Times New Roman" w:cs="Times New Roman"/>
      <w:color w:val="FF0000"/>
      <w:sz w:val="21"/>
      <w:szCs w:val="21"/>
      <w:u w:val="single"/>
    </w:rPr>
  </w:style>
  <w:style w:type="paragraph" w:customStyle="1" w:styleId="72">
    <w:name w:val="Table Paragraph"/>
    <w:basedOn w:val="1"/>
    <w:autoRedefine/>
    <w:qFormat/>
    <w:uiPriority w:val="1"/>
    <w:pPr>
      <w:spacing w:before="22"/>
    </w:pPr>
  </w:style>
  <w:style w:type="table" w:customStyle="1" w:styleId="73">
    <w:name w:val="Table Normal"/>
    <w:autoRedefine/>
    <w:semiHidden/>
    <w:unhideWhenUsed/>
    <w:qFormat/>
    <w:uiPriority w:val="2"/>
    <w:tblPr>
      <w:tblCellMar>
        <w:top w:w="0" w:type="dxa"/>
        <w:left w:w="0" w:type="dxa"/>
        <w:bottom w:w="0" w:type="dxa"/>
        <w:right w:w="0" w:type="dxa"/>
      </w:tblCellMar>
    </w:tblPr>
  </w:style>
  <w:style w:type="character" w:customStyle="1" w:styleId="74">
    <w:name w:val="fontstyle01"/>
    <w:basedOn w:val="22"/>
    <w:autoRedefine/>
    <w:qFormat/>
    <w:uiPriority w:val="0"/>
    <w:rPr>
      <w:rFonts w:hint="eastAsia" w:ascii="宋体" w:hAnsi="宋体" w:eastAsia="宋体"/>
      <w:color w:val="000000"/>
      <w:sz w:val="20"/>
      <w:szCs w:val="20"/>
    </w:rPr>
  </w:style>
  <w:style w:type="paragraph" w:customStyle="1" w:styleId="75">
    <w:name w:val="Table Text"/>
    <w:basedOn w:val="1"/>
    <w:autoRedefine/>
    <w:semiHidden/>
    <w:qFormat/>
    <w:uiPriority w:val="0"/>
    <w:pPr>
      <w:widowControl/>
      <w:kinsoku w:val="0"/>
      <w:adjustRightInd w:val="0"/>
      <w:snapToGrid w:val="0"/>
      <w:spacing w:before="109" w:line="360" w:lineRule="auto"/>
      <w:jc w:val="center"/>
      <w:textAlignment w:val="baseline"/>
    </w:pPr>
    <w:rPr>
      <w:snapToGrid w:val="0"/>
      <w:color w:val="000000"/>
      <w:sz w:val="24"/>
      <w:lang w:eastAsia="en-US"/>
    </w:rPr>
  </w:style>
  <w:style w:type="paragraph" w:customStyle="1" w:styleId="76">
    <w:name w:val="正文1"/>
    <w:basedOn w:val="1"/>
    <w:autoRedefine/>
    <w:qFormat/>
    <w:uiPriority w:val="0"/>
    <w:pPr>
      <w:adjustRightInd w:val="0"/>
      <w:spacing w:line="410" w:lineRule="atLeast"/>
      <w:textAlignment w:val="baseline"/>
    </w:pPr>
    <w:rPr>
      <w:rFonts w:ascii="宋体"/>
      <w:kern w:val="0"/>
      <w:sz w:val="24"/>
    </w:rPr>
  </w:style>
  <w:style w:type="paragraph" w:customStyle="1" w:styleId="77">
    <w:name w:val="表头"/>
    <w:basedOn w:val="5"/>
    <w:autoRedefine/>
    <w:qFormat/>
    <w:uiPriority w:val="0"/>
    <w:pPr>
      <w:keepNext/>
      <w:keepLines/>
      <w:widowControl/>
      <w:spacing w:before="120" w:after="120" w:line="300" w:lineRule="auto"/>
      <w:jc w:val="center"/>
    </w:pPr>
    <w:rPr>
      <w:rFonts w:ascii="Arial" w:hAnsi="Arial" w:cs="Times New Roman"/>
      <w:kern w:val="0"/>
      <w:sz w:val="21"/>
    </w:rPr>
  </w:style>
  <w:style w:type="paragraph" w:customStyle="1" w:styleId="78">
    <w:name w:val="Char1 Char Char Char Char Char Char"/>
    <w:basedOn w:val="1"/>
    <w:autoRedefine/>
    <w:qFormat/>
    <w:uiPriority w:val="0"/>
    <w:rPr>
      <w:rFonts w:ascii="Tahoma" w:hAnsi="Tahoma"/>
      <w:sz w:val="24"/>
      <w:szCs w:val="20"/>
    </w:rPr>
  </w:style>
  <w:style w:type="character" w:customStyle="1" w:styleId="79">
    <w:name w:val="批注主题 字符"/>
    <w:basedOn w:val="63"/>
    <w:link w:val="19"/>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71D62-8B2D-4660-B0CF-A93044A134A5}">
  <ds:schemaRefs/>
</ds:datastoreItem>
</file>

<file path=customXml/itemProps3.xml><?xml version="1.0" encoding="utf-8"?>
<ds:datastoreItem xmlns:ds="http://schemas.openxmlformats.org/officeDocument/2006/customXml" ds:itemID="{93575FAB-5B79-44AC-BA2F-3B2B14D9C5B5}">
  <ds:schemaRefs/>
</ds:datastoreItem>
</file>

<file path=customXml/itemProps4.xml><?xml version="1.0" encoding="utf-8"?>
<ds:datastoreItem xmlns:ds="http://schemas.openxmlformats.org/officeDocument/2006/customXml" ds:itemID="{04A2DF7C-4A31-486C-B83F-858A1823D1EE}">
  <ds:schemaRefs/>
</ds:datastoreItem>
</file>

<file path=docProps/app.xml><?xml version="1.0" encoding="utf-8"?>
<Properties xmlns="http://schemas.openxmlformats.org/officeDocument/2006/extended-properties" xmlns:vt="http://schemas.openxmlformats.org/officeDocument/2006/docPropsVTypes">
  <Template>0</Template>
  <Pages>79</Pages>
  <Words>7178</Words>
  <Characters>40915</Characters>
  <Lines>340</Lines>
  <Paragraphs>95</Paragraphs>
  <TotalTime>10</TotalTime>
  <ScaleCrop>false</ScaleCrop>
  <LinksUpToDate>false</LinksUpToDate>
  <CharactersWithSpaces>47998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2024-03-07T08:02:00Z</dcterms:created>
  <dc:creator>Administrator</dc:creator>
  <cp:lastModifiedBy>WPS_1679638661</cp:lastModifiedBy>
  <cp:lastPrinted>2019-11-11T03:37:00Z</cp:lastPrinted>
  <dcterms:modified xsi:type="dcterms:W3CDTF">2024-04-18T04:01:25Z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35AC823A33714E0CA3771DA1DFCE25C8</vt:lpwstr>
  </property>
  <property fmtid="{D5CDD505-2E9C-101B-9397-08002B2CF9AE}" pid="4" name="commondata">
    <vt:lpwstr>eyJoZGlkIjoiMTJhNmNiMDhiZmRjOGM2YmIyOTAyNzE4NDE0MzIxNDkifQ==</vt:lpwstr>
  </property>
</Properties>
</file>